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04C9F9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406A5A">
        <w:rPr>
          <w:bCs/>
          <w:noProof w:val="0"/>
          <w:sz w:val="24"/>
          <w:szCs w:val="24"/>
        </w:rPr>
        <w:t>3166</w:t>
      </w:r>
    </w:p>
    <w:p w14:paraId="11776FA6" w14:textId="34DE7FB1"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5472F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493B">
        <w:rPr>
          <w:rFonts w:cs="Arial"/>
          <w:b/>
          <w:bCs/>
          <w:sz w:val="24"/>
          <w:lang w:eastAsia="ja-JP"/>
        </w:rPr>
        <w:t>7.4.2.2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471B35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6A5A" w:rsidRPr="00406A5A">
        <w:rPr>
          <w:rFonts w:ascii="Arial" w:hAnsi="Arial" w:cs="Arial"/>
          <w:b/>
          <w:bCs/>
          <w:sz w:val="24"/>
        </w:rPr>
        <w:t>On RRC Configuration for LTM: Reference, Delta and Validity Check</w:t>
      </w:r>
    </w:p>
    <w:p w14:paraId="25F387E8" w14:textId="1D145FA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C6304" w:rsidRPr="00BC6304">
        <w:rPr>
          <w:rFonts w:ascii="Arial" w:hAnsi="Arial" w:cs="Arial"/>
          <w:b/>
          <w:bCs/>
          <w:sz w:val="24"/>
        </w:rPr>
        <w:t xml:space="preserve">NR_Mob_enh2-Core </w:t>
      </w:r>
      <w:r>
        <w:rPr>
          <w:rFonts w:ascii="Arial" w:hAnsi="Arial" w:cs="Arial"/>
          <w:b/>
          <w:bCs/>
          <w:sz w:val="24"/>
        </w:rPr>
        <w:t xml:space="preserve">- Release </w:t>
      </w:r>
      <w:r w:rsidR="00E6235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912591F" w:rsidR="00A209D6" w:rsidRDefault="00A209D6" w:rsidP="00A209D6">
      <w:pPr>
        <w:pStyle w:val="Heading1"/>
      </w:pPr>
      <w:r w:rsidRPr="006E13D1">
        <w:t>1</w:t>
      </w:r>
      <w:r w:rsidRPr="006E13D1">
        <w:tab/>
      </w:r>
      <w:r>
        <w:t>Introduction</w:t>
      </w:r>
    </w:p>
    <w:p w14:paraId="1CE99B62" w14:textId="2656BA7E" w:rsidR="00CA5F51" w:rsidRPr="005E4D07" w:rsidRDefault="00CA5F51" w:rsidP="00CA5F51">
      <w:pPr>
        <w:rPr>
          <w:lang w:val="en-US"/>
        </w:rPr>
      </w:pPr>
      <w:r w:rsidRPr="005E4D07">
        <w:rPr>
          <w:lang w:val="en-US"/>
        </w:rPr>
        <w:t>According to the agreements from R</w:t>
      </w:r>
      <w:r>
        <w:rPr>
          <w:lang w:val="en-US"/>
        </w:rPr>
        <w:t>AN</w:t>
      </w:r>
      <w:r w:rsidRPr="005E4D07">
        <w:rPr>
          <w:lang w:val="en-US"/>
        </w:rPr>
        <w:t>2</w:t>
      </w:r>
      <w:r>
        <w:rPr>
          <w:lang w:val="en-US"/>
        </w:rPr>
        <w:t>#</w:t>
      </w:r>
      <w:r w:rsidRPr="005E4D07">
        <w:rPr>
          <w:lang w:val="en-US"/>
        </w:rPr>
        <w:t>12</w:t>
      </w:r>
      <w:r>
        <w:rPr>
          <w:lang w:val="en-US"/>
        </w:rPr>
        <w:t>1</w:t>
      </w:r>
      <w:r w:rsidRPr="005E4D07">
        <w:rPr>
          <w:lang w:val="en-US"/>
        </w:rPr>
        <w:t xml:space="preserve"> [1]:</w:t>
      </w:r>
    </w:p>
    <w:tbl>
      <w:tblPr>
        <w:tblStyle w:val="TableGrid"/>
        <w:tblW w:w="0" w:type="auto"/>
        <w:tblLook w:val="04A0" w:firstRow="1" w:lastRow="0" w:firstColumn="1" w:lastColumn="0" w:noHBand="0" w:noVBand="1"/>
      </w:tblPr>
      <w:tblGrid>
        <w:gridCol w:w="9631"/>
      </w:tblGrid>
      <w:tr w:rsidR="00CA5F51" w14:paraId="5614EC9D" w14:textId="77777777" w:rsidTr="00CA5F51">
        <w:tc>
          <w:tcPr>
            <w:tcW w:w="9631" w:type="dxa"/>
          </w:tcPr>
          <w:p w14:paraId="7BC620EB" w14:textId="7E46F61E" w:rsidR="00CA5F51" w:rsidRPr="00B05B3A" w:rsidRDefault="00CA5F51" w:rsidP="00DD4FF4">
            <w:pPr>
              <w:pStyle w:val="Agreement"/>
              <w:ind w:left="928"/>
              <w:jc w:val="both"/>
              <w:rPr>
                <w:bCs/>
                <w:lang w:val="en-US"/>
              </w:rPr>
            </w:pPr>
            <w:r w:rsidRPr="00B05B3A">
              <w:rPr>
                <w:lang w:val="en-US"/>
              </w:rPr>
              <w:t xml:space="preserve">Agreed: </w:t>
            </w:r>
            <w:r w:rsidRPr="00B05B3A">
              <w:rPr>
                <w:bCs/>
                <w:lang w:val="en-US"/>
              </w:rPr>
              <w:t xml:space="preserve">Usage of reference configuration: </w:t>
            </w:r>
          </w:p>
          <w:p w14:paraId="7AE9C80F" w14:textId="77777777" w:rsidR="00CA5F51" w:rsidRPr="006831D1" w:rsidRDefault="00CA5F51" w:rsidP="00DD4FF4">
            <w:pPr>
              <w:pStyle w:val="Doc-text2"/>
              <w:ind w:left="931"/>
              <w:jc w:val="both"/>
              <w:rPr>
                <w:b/>
                <w:bCs/>
                <w:lang w:val="en-US"/>
              </w:rPr>
            </w:pPr>
            <w:r w:rsidRPr="006831D1">
              <w:rPr>
                <w:b/>
                <w:bCs/>
                <w:lang w:val="en-US"/>
              </w:rPr>
              <w:t xml:space="preserve">- </w:t>
            </w:r>
            <w:r w:rsidRPr="006831D1">
              <w:rPr>
                <w:b/>
                <w:bCs/>
                <w:lang w:val="en-US"/>
              </w:rPr>
              <w:tab/>
              <w:t>Candidate delta configuration is applied on top of the reference configuration to form a complete candidate configuration (FFS if done at cell switch or before the cell switch)</w:t>
            </w:r>
          </w:p>
          <w:p w14:paraId="75ACEED7" w14:textId="77777777" w:rsidR="00CA5F51" w:rsidRPr="006831D1" w:rsidRDefault="00CA5F51" w:rsidP="00DD4FF4">
            <w:pPr>
              <w:pStyle w:val="Doc-text2"/>
              <w:ind w:left="931"/>
              <w:jc w:val="both"/>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653B701" w14:textId="77777777" w:rsidR="00CA5F51" w:rsidRPr="006831D1" w:rsidRDefault="00CA5F51" w:rsidP="00DD4FF4">
            <w:pPr>
              <w:pStyle w:val="Doc-text2"/>
              <w:ind w:left="931"/>
              <w:jc w:val="both"/>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4A04F71" w14:textId="77777777" w:rsidR="00CA5F51" w:rsidRDefault="00CA5F51" w:rsidP="00DD4FF4">
            <w:pPr>
              <w:pStyle w:val="Doc-text2"/>
              <w:ind w:left="931"/>
              <w:jc w:val="both"/>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25149717" w14:textId="77777777" w:rsidR="00CA5F51" w:rsidRPr="006831D1" w:rsidRDefault="00CA5F51" w:rsidP="00DD4FF4">
            <w:pPr>
              <w:pStyle w:val="Doc-text2"/>
              <w:ind w:left="931"/>
              <w:jc w:val="both"/>
              <w:rPr>
                <w:b/>
                <w:bCs/>
                <w:lang w:val="en-US"/>
              </w:rPr>
            </w:pPr>
            <w:r>
              <w:rPr>
                <w:b/>
                <w:bCs/>
                <w:lang w:val="en-US"/>
              </w:rPr>
              <w:t>-</w:t>
            </w:r>
            <w:r>
              <w:rPr>
                <w:b/>
                <w:bCs/>
                <w:lang w:val="en-US"/>
              </w:rPr>
              <w:tab/>
              <w:t xml:space="preserve">FFS if the reference configuration can be derived from the current UE configuration at some point of time. </w:t>
            </w:r>
          </w:p>
          <w:p w14:paraId="21F51C8F" w14:textId="77777777" w:rsidR="00CA5F51" w:rsidRDefault="00CA5F51" w:rsidP="00DD4FF4">
            <w:pPr>
              <w:pStyle w:val="Doc-text2"/>
              <w:ind w:left="931"/>
              <w:jc w:val="both"/>
              <w:rPr>
                <w:lang w:val="en-US"/>
              </w:rPr>
            </w:pPr>
          </w:p>
          <w:p w14:paraId="53554D33" w14:textId="77777777" w:rsidR="00CA5F51" w:rsidRDefault="00CA5F51" w:rsidP="00DD4FF4">
            <w:pPr>
              <w:pStyle w:val="Agreement"/>
              <w:ind w:left="928"/>
              <w:jc w:val="both"/>
              <w:rPr>
                <w:lang w:val="en-US"/>
              </w:rPr>
            </w:pPr>
            <w:r>
              <w:rPr>
                <w:lang w:val="en-US"/>
              </w:rPr>
              <w:t xml:space="preserve">Potentially: R2 assumes that LTM without a separate reference configuration (if agreed) could work something like this: </w:t>
            </w:r>
          </w:p>
          <w:p w14:paraId="0A7F80A9" w14:textId="77777777" w:rsidR="00CA5F51" w:rsidRDefault="00CA5F51" w:rsidP="00DD4FF4">
            <w:pPr>
              <w:pStyle w:val="Doc-text2"/>
              <w:ind w:left="931"/>
              <w:jc w:val="both"/>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587792C8" w14:textId="2828FC1A" w:rsidR="00CA5F51" w:rsidRDefault="00CA5F51" w:rsidP="00DD4FF4">
            <w:pPr>
              <w:pStyle w:val="Doc-text2"/>
              <w:ind w:left="931"/>
              <w:jc w:val="both"/>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475C4AAF" w14:textId="3AAA023A" w:rsidR="00CA5F51" w:rsidRDefault="00CA5F51" w:rsidP="00DD4FF4">
            <w:pPr>
              <w:pStyle w:val="Doc-text2"/>
              <w:ind w:left="931"/>
              <w:jc w:val="both"/>
              <w:rPr>
                <w:b/>
                <w:bCs/>
                <w:lang w:val="en-US"/>
              </w:rPr>
            </w:pPr>
          </w:p>
          <w:p w14:paraId="34943A68" w14:textId="6B810303" w:rsidR="00CA5F51" w:rsidRDefault="00CA5F51" w:rsidP="00DD4FF4">
            <w:pPr>
              <w:pStyle w:val="Agreement"/>
              <w:ind w:left="928"/>
              <w:jc w:val="both"/>
              <w:rPr>
                <w:lang w:val="en-US"/>
              </w:rPr>
            </w:pPr>
            <w:r w:rsidRPr="00CA5F51">
              <w:rPr>
                <w:lang w:val="en-US"/>
              </w:rPr>
              <w:t xml:space="preserve">agree to use Model 1: One </w:t>
            </w:r>
            <w:proofErr w:type="spellStart"/>
            <w:r w:rsidRPr="00CA5F51">
              <w:rPr>
                <w:lang w:val="en-US"/>
              </w:rPr>
              <w:t>RRCReconfiguration</w:t>
            </w:r>
            <w:proofErr w:type="spellEnd"/>
            <w:r w:rsidRPr="00CA5F51">
              <w:rPr>
                <w:lang w:val="en-US"/>
              </w:rPr>
              <w:t xml:space="preserve"> message for each candidate target configuration </w:t>
            </w:r>
            <w:proofErr w:type="spellStart"/>
            <w:r w:rsidRPr="00CA5F51">
              <w:rPr>
                <w:lang w:val="en-US"/>
              </w:rPr>
              <w:t>RRCReconfiguration</w:t>
            </w:r>
            <w:proofErr w:type="spellEnd"/>
            <w:r w:rsidRPr="00CA5F51">
              <w:rPr>
                <w:lang w:val="en-US"/>
              </w:rPr>
              <w:t xml:space="preserve"> to configure target candidate cells</w:t>
            </w:r>
          </w:p>
          <w:p w14:paraId="4F5D6906" w14:textId="4D92EA6A" w:rsidR="00CA5F51" w:rsidRDefault="00CA5F51" w:rsidP="00DD4FF4">
            <w:pPr>
              <w:pStyle w:val="Doc-text2"/>
              <w:jc w:val="both"/>
              <w:rPr>
                <w:lang w:val="en-US"/>
              </w:rPr>
            </w:pPr>
          </w:p>
          <w:p w14:paraId="1837B92E" w14:textId="2CC7D6EE" w:rsidR="00CA5F51" w:rsidRDefault="00CA5F51" w:rsidP="00DD4FF4">
            <w:pPr>
              <w:pStyle w:val="Doc-text2"/>
              <w:jc w:val="both"/>
              <w:rPr>
                <w:lang w:val="en-US"/>
              </w:rPr>
            </w:pPr>
          </w:p>
          <w:p w14:paraId="07C2DD5A" w14:textId="77777777" w:rsidR="00CA5F51" w:rsidRPr="00CA5F51" w:rsidRDefault="00CA5F51" w:rsidP="00DD4FF4">
            <w:pPr>
              <w:pStyle w:val="Agreement"/>
              <w:ind w:left="928"/>
              <w:jc w:val="both"/>
              <w:rPr>
                <w:lang w:val="en-US"/>
              </w:rPr>
            </w:pPr>
            <w:r w:rsidRPr="00CA5F51">
              <w:rPr>
                <w:lang w:val="en-US"/>
              </w:rPr>
              <w:t>Reference config can be empty</w:t>
            </w:r>
          </w:p>
          <w:p w14:paraId="59B277E5" w14:textId="77777777" w:rsidR="00CA5F51" w:rsidRPr="00C52452" w:rsidRDefault="00CA5F51" w:rsidP="00DD4FF4">
            <w:pPr>
              <w:pStyle w:val="Agreement"/>
              <w:ind w:left="928"/>
              <w:jc w:val="both"/>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436B23B1" w14:textId="77777777" w:rsidR="00CA5F51" w:rsidRDefault="00CA5F51" w:rsidP="00DD4FF4">
            <w:pPr>
              <w:pStyle w:val="Agreement"/>
              <w:ind w:left="928"/>
              <w:jc w:val="both"/>
              <w:rPr>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w:t>
            </w:r>
            <w:r w:rsidRPr="00C52452">
              <w:rPr>
                <w:lang w:val="en-US"/>
              </w:rPr>
              <w:lastRenderedPageBreak/>
              <w:t xml:space="preserve">necessarily reset MAC, RLC or PDCP. </w:t>
            </w:r>
            <w:r w:rsidRPr="00CA5F51">
              <w:rPr>
                <w:lang w:val="en-US"/>
              </w:rPr>
              <w:t xml:space="preserve">FFS whether we can rely on a modified version of the reconfiguration procedure with </w:t>
            </w:r>
            <w:proofErr w:type="spellStart"/>
            <w:r w:rsidRPr="00CA5F51">
              <w:rPr>
                <w:lang w:val="en-US"/>
              </w:rPr>
              <w:t>fullconfig</w:t>
            </w:r>
            <w:proofErr w:type="spellEnd"/>
            <w:r w:rsidRPr="00CA5F51">
              <w:rPr>
                <w:lang w:val="en-US"/>
              </w:rPr>
              <w:t xml:space="preserve"> flag set. FFS how to make sure the procedures work in case the LTM candidate configuration is a complete configuration.</w:t>
            </w:r>
          </w:p>
          <w:p w14:paraId="0CA94DA8" w14:textId="5547ED65" w:rsidR="00CA5F51" w:rsidRPr="00CA5F51" w:rsidRDefault="00CA5F51" w:rsidP="00DD4FF4">
            <w:pPr>
              <w:pStyle w:val="Doc-text2"/>
              <w:jc w:val="both"/>
              <w:rPr>
                <w:lang w:val="en-US"/>
              </w:rPr>
            </w:pPr>
          </w:p>
        </w:tc>
      </w:tr>
    </w:tbl>
    <w:p w14:paraId="01D4BE4D" w14:textId="198C6332" w:rsidR="00CA5F51" w:rsidRPr="00792568" w:rsidRDefault="00E62356" w:rsidP="00DD4FF4">
      <w:pPr>
        <w:jc w:val="both"/>
      </w:pPr>
      <w:r>
        <w:rPr>
          <w:lang w:val="en-US"/>
        </w:rPr>
        <w:lastRenderedPageBreak/>
        <w:br/>
      </w:r>
      <w:r w:rsidR="00CA5F51" w:rsidRPr="00CA5F51">
        <w:rPr>
          <w:lang w:val="en-US"/>
        </w:rPr>
        <w:t xml:space="preserve">This document discusses the aspects of the RRC Reconfiguration </w:t>
      </w:r>
      <w:r w:rsidR="003E3B56">
        <w:rPr>
          <w:lang w:val="en-US"/>
        </w:rPr>
        <w:t>for LTM</w:t>
      </w:r>
      <w:r w:rsidR="0080400F">
        <w:rPr>
          <w:lang w:val="en-US"/>
        </w:rPr>
        <w:t>, with a particular focus</w:t>
      </w:r>
      <w:r w:rsidR="00CA5F51">
        <w:rPr>
          <w:lang w:val="en-US"/>
        </w:rPr>
        <w:t xml:space="preserve"> on how reference and delta configuration should be configured</w:t>
      </w:r>
      <w:r w:rsidR="00CA5F51" w:rsidRPr="00CA5F51">
        <w:rPr>
          <w:lang w:val="en-US"/>
        </w:rPr>
        <w:t xml:space="preserve">. </w:t>
      </w:r>
    </w:p>
    <w:p w14:paraId="7D484B6E" w14:textId="46DB1343" w:rsidR="009339CB" w:rsidRPr="006E13D1" w:rsidRDefault="009339CB" w:rsidP="009339CB">
      <w:pPr>
        <w:pStyle w:val="Heading1"/>
      </w:pPr>
      <w:r>
        <w:t>2</w:t>
      </w:r>
      <w:r>
        <w:tab/>
      </w:r>
      <w:r w:rsidR="00CA5F51">
        <w:t>Target Cell RRC Configuration Provision in LTM</w:t>
      </w:r>
    </w:p>
    <w:p w14:paraId="5982B445" w14:textId="381268CE" w:rsidR="009339CB" w:rsidRPr="006E13D1" w:rsidRDefault="009339CB" w:rsidP="009339CB">
      <w:pPr>
        <w:pStyle w:val="Heading2"/>
      </w:pPr>
      <w:r>
        <w:t>2</w:t>
      </w:r>
      <w:r w:rsidRPr="006E13D1">
        <w:t>.1</w:t>
      </w:r>
      <w:r w:rsidRPr="006E13D1">
        <w:tab/>
      </w:r>
      <w:r w:rsidR="006F2F9D">
        <w:t>Terminology</w:t>
      </w:r>
    </w:p>
    <w:p w14:paraId="078F7586" w14:textId="58150F21" w:rsidR="00FA7907" w:rsidRDefault="00FA7907" w:rsidP="00FA7907">
      <w:pPr>
        <w:jc w:val="both"/>
      </w:pPr>
      <w:r>
        <w:t>In the previous meeting various terms have been used in the discussion of the LTM RRC configuration for the description of the target cell configuration (e.g., full or complete, delta,</w:t>
      </w:r>
      <w:r w:rsidR="00D25329">
        <w:t xml:space="preserve"> non-delta,</w:t>
      </w:r>
      <w:r>
        <w:t xml:space="preserve"> etc.) and for the description of the reference configuration (e.g., template, base, full reference, etc.). The use of various terms creates a confusion in the discussion, and we think that we should agree on certain terminology to be used in the RRC </w:t>
      </w:r>
      <w:r w:rsidR="00D25329">
        <w:t>c</w:t>
      </w:r>
      <w:r>
        <w:t xml:space="preserve">onfiguration discussion (and </w:t>
      </w:r>
      <w:r w:rsidR="00EB3C04">
        <w:t xml:space="preserve">subsequent </w:t>
      </w:r>
      <w:r>
        <w:t xml:space="preserve">specification). </w:t>
      </w:r>
    </w:p>
    <w:p w14:paraId="175CEE1E" w14:textId="3AF246EC" w:rsidR="009339CB" w:rsidRDefault="00FA7907" w:rsidP="00FA7907">
      <w:pPr>
        <w:jc w:val="both"/>
      </w:pPr>
      <w:r>
        <w:t>To our understanding we have the following terms in the RRC configuration discussion:</w:t>
      </w:r>
    </w:p>
    <w:p w14:paraId="110A8DF8" w14:textId="354082E5" w:rsidR="00FA7907" w:rsidRDefault="00FA7907" w:rsidP="00F36C27">
      <w:pPr>
        <w:pStyle w:val="ListParagraph"/>
        <w:numPr>
          <w:ilvl w:val="0"/>
          <w:numId w:val="11"/>
        </w:numPr>
        <w:jc w:val="both"/>
      </w:pPr>
      <w:r w:rsidRPr="00F36C27">
        <w:rPr>
          <w:u w:val="single"/>
        </w:rPr>
        <w:t>Reference Configuration</w:t>
      </w:r>
      <w:r>
        <w:t>: a</w:t>
      </w:r>
      <w:r w:rsidR="00890C73">
        <w:t>n RRC</w:t>
      </w:r>
      <w:r>
        <w:t xml:space="preserve"> configuration provided (by the </w:t>
      </w:r>
      <w:proofErr w:type="spellStart"/>
      <w:r>
        <w:t>gNB</w:t>
      </w:r>
      <w:proofErr w:type="spellEnd"/>
      <w:r>
        <w:t xml:space="preserve">) to the UE </w:t>
      </w:r>
      <w:r w:rsidR="00D65170">
        <w:t xml:space="preserve">via </w:t>
      </w:r>
      <w:r w:rsidR="00890C73">
        <w:t>dedicated</w:t>
      </w:r>
      <w:r w:rsidR="00D65170">
        <w:t xml:space="preserve"> signalling (e.g. </w:t>
      </w:r>
      <w:r w:rsidR="00F36C27">
        <w:t>in a separate IE</w:t>
      </w:r>
      <w:r w:rsidR="00D65170">
        <w:t xml:space="preserve"> similar to CHO configuration</w:t>
      </w:r>
      <w:r w:rsidR="00932542">
        <w:t>)</w:t>
      </w:r>
      <w:r w:rsidR="00F36C27">
        <w:t xml:space="preserve"> and is used by the UE </w:t>
      </w:r>
      <w:r w:rsidR="00457505">
        <w:t xml:space="preserve">to </w:t>
      </w:r>
      <w:r w:rsidR="00F36C27">
        <w:t xml:space="preserve">derive the </w:t>
      </w:r>
      <w:r w:rsidR="00655FDA">
        <w:t>complete</w:t>
      </w:r>
      <w:r w:rsidR="006D2506">
        <w:t xml:space="preserve"> </w:t>
      </w:r>
      <w:r w:rsidR="00F36C27">
        <w:t xml:space="preserve">target cell </w:t>
      </w:r>
      <w:r w:rsidR="006D2506">
        <w:t xml:space="preserve">RRC </w:t>
      </w:r>
      <w:r w:rsidR="00F36C27">
        <w:t xml:space="preserve">configurations by applying </w:t>
      </w:r>
      <w:r w:rsidR="006D2506">
        <w:t>the target cell</w:t>
      </w:r>
      <w:r w:rsidR="00AD0152">
        <w:t>-specific</w:t>
      </w:r>
      <w:r w:rsidR="006D2506">
        <w:t xml:space="preserve"> </w:t>
      </w:r>
      <w:r w:rsidR="0011079C">
        <w:t xml:space="preserve">delta </w:t>
      </w:r>
      <w:r w:rsidR="006D2506">
        <w:t xml:space="preserve">configuration </w:t>
      </w:r>
      <w:r w:rsidR="00F36C27">
        <w:t>on top of the reference</w:t>
      </w:r>
      <w:r w:rsidR="0011079C">
        <w:t xml:space="preserve"> configuration</w:t>
      </w:r>
      <w:r w:rsidR="00F36C27">
        <w:t>. Reference configuration may or may not contain all the target cell fields</w:t>
      </w:r>
      <w:r w:rsidR="009109B5">
        <w:t xml:space="preserve">, i.e., it may be complete (Figure 1a) or not </w:t>
      </w:r>
      <w:r w:rsidR="00895DB5">
        <w:t xml:space="preserve">complete </w:t>
      </w:r>
      <w:r w:rsidR="009109B5">
        <w:t>(Figure 1b)</w:t>
      </w:r>
      <w:r w:rsidR="00C32DB4">
        <w:t>. Furthermore, Reference configuration can be empty</w:t>
      </w:r>
      <w:r w:rsidR="00895DB5">
        <w:t xml:space="preserve"> (not shown in Figure 1)</w:t>
      </w:r>
      <w:r w:rsidR="00F36C27">
        <w:t>.</w:t>
      </w:r>
    </w:p>
    <w:p w14:paraId="43FE983B" w14:textId="72782FB5" w:rsidR="00C32DB4" w:rsidRPr="00464D54" w:rsidRDefault="00F36C27">
      <w:pPr>
        <w:pStyle w:val="ListParagraph"/>
        <w:numPr>
          <w:ilvl w:val="0"/>
          <w:numId w:val="11"/>
        </w:numPr>
        <w:jc w:val="both"/>
        <w:rPr>
          <w:u w:val="single"/>
        </w:rPr>
      </w:pPr>
      <w:r w:rsidRPr="00C32DB4">
        <w:rPr>
          <w:u w:val="single"/>
        </w:rPr>
        <w:t>Complete Configuration</w:t>
      </w:r>
      <w:r w:rsidR="00DA3943" w:rsidRPr="00C32DB4">
        <w:rPr>
          <w:u w:val="single"/>
        </w:rPr>
        <w:t>:</w:t>
      </w:r>
      <w:r w:rsidR="00DA3943" w:rsidRPr="00DA3943" w:rsidDel="008A2E70">
        <w:t xml:space="preserve"> </w:t>
      </w:r>
      <w:r w:rsidR="00DA3943" w:rsidRPr="00DA3943">
        <w:t>a</w:t>
      </w:r>
      <w:r w:rsidR="00890C73">
        <w:t>n</w:t>
      </w:r>
      <w:r w:rsidR="00DA3943" w:rsidRPr="00DA3943">
        <w:t xml:space="preserve"> </w:t>
      </w:r>
      <w:r w:rsidR="00890C73">
        <w:t xml:space="preserve">RRC </w:t>
      </w:r>
      <w:r w:rsidR="00DA3943">
        <w:t xml:space="preserve">configuration provided (by the </w:t>
      </w:r>
      <w:proofErr w:type="spellStart"/>
      <w:r w:rsidR="00DA3943">
        <w:t>gNB</w:t>
      </w:r>
      <w:proofErr w:type="spellEnd"/>
      <w:r w:rsidR="00DA3943">
        <w:t xml:space="preserve">) to the UE </w:t>
      </w:r>
      <w:r w:rsidR="00C32DB4">
        <w:t xml:space="preserve">containing </w:t>
      </w:r>
      <w:r w:rsidR="00890C73">
        <w:t xml:space="preserve">all </w:t>
      </w:r>
      <w:r w:rsidR="00C32DB4">
        <w:t xml:space="preserve">the required </w:t>
      </w:r>
      <w:r w:rsidR="00ED4E14">
        <w:t>fields</w:t>
      </w:r>
      <w:r w:rsidR="00C32DB4">
        <w:t xml:space="preserve"> that </w:t>
      </w:r>
      <w:r w:rsidR="002461CA">
        <w:t xml:space="preserve">are </w:t>
      </w:r>
      <w:r w:rsidR="00C32DB4">
        <w:t>need</w:t>
      </w:r>
      <w:r w:rsidR="002461CA">
        <w:t xml:space="preserve">ed </w:t>
      </w:r>
      <w:r w:rsidR="002D24EC">
        <w:t xml:space="preserve">for a cell change </w:t>
      </w:r>
      <w:r w:rsidR="000363EB">
        <w:t>towards a target cell</w:t>
      </w:r>
      <w:r w:rsidR="00771740">
        <w:t>; it should not</w:t>
      </w:r>
      <w:r w:rsidR="00C32DB4">
        <w:t xml:space="preserve"> be </w:t>
      </w:r>
      <w:r w:rsidR="00ED4E14">
        <w:t>confused</w:t>
      </w:r>
      <w:r w:rsidR="00771740">
        <w:t xml:space="preserve"> with the full configuration since</w:t>
      </w:r>
      <w:r w:rsidR="00C32DB4">
        <w:t xml:space="preserve"> the </w:t>
      </w:r>
      <w:r w:rsidR="00771740">
        <w:t xml:space="preserve">latter </w:t>
      </w:r>
      <w:r w:rsidR="00ED4E14">
        <w:t>requires reset/re-establishment of all protocols</w:t>
      </w:r>
      <w:r w:rsidR="00C32DB4">
        <w:t>.</w:t>
      </w:r>
    </w:p>
    <w:p w14:paraId="22F770B1" w14:textId="514B517E" w:rsidR="00464D54" w:rsidRDefault="00981923">
      <w:pPr>
        <w:pStyle w:val="ListParagraph"/>
        <w:numPr>
          <w:ilvl w:val="0"/>
          <w:numId w:val="11"/>
        </w:numPr>
        <w:jc w:val="both"/>
        <w:rPr>
          <w:u w:val="single"/>
        </w:rPr>
      </w:pPr>
      <w:r>
        <w:rPr>
          <w:u w:val="single"/>
        </w:rPr>
        <w:t>Decoding</w:t>
      </w:r>
      <w:r w:rsidR="00464D54">
        <w:rPr>
          <w:u w:val="single"/>
        </w:rPr>
        <w:t>:</w:t>
      </w:r>
      <w:r w:rsidR="00464D54" w:rsidRPr="00464D54">
        <w:t xml:space="preserve">  the </w:t>
      </w:r>
      <w:r w:rsidR="002554B9">
        <w:t xml:space="preserve">process of </w:t>
      </w:r>
      <w:r w:rsidR="00553700">
        <w:t>determining</w:t>
      </w:r>
      <w:r w:rsidR="002554B9">
        <w:t xml:space="preserve"> the contents of the ASN.1 within RRC message, </w:t>
      </w:r>
      <w:r w:rsidR="00464D54">
        <w:t>and storage of these fields</w:t>
      </w:r>
      <w:r w:rsidR="00AB5ECE">
        <w:t xml:space="preserve"> as part of UE RRC configuration</w:t>
      </w:r>
      <w:r w:rsidR="00464D54">
        <w:t>.</w:t>
      </w:r>
    </w:p>
    <w:p w14:paraId="32EF63CD" w14:textId="603E3A95" w:rsidR="00464D54" w:rsidRPr="000440AC" w:rsidRDefault="00464D54">
      <w:pPr>
        <w:pStyle w:val="ListParagraph"/>
        <w:numPr>
          <w:ilvl w:val="0"/>
          <w:numId w:val="11"/>
        </w:numPr>
        <w:jc w:val="both"/>
        <w:rPr>
          <w:u w:val="single"/>
        </w:rPr>
      </w:pPr>
      <w:r>
        <w:rPr>
          <w:u w:val="single"/>
        </w:rPr>
        <w:t>Validity Check:</w:t>
      </w:r>
      <w:r w:rsidRPr="00464D54">
        <w:t xml:space="preserve"> the </w:t>
      </w:r>
      <w:r>
        <w:t>evaluation of the validity of specific fields to identify invalid values</w:t>
      </w:r>
      <w:r w:rsidR="00553700">
        <w:t>, i.e. ensuring the ASN.1 configuration is fully comprehended</w:t>
      </w:r>
      <w:r>
        <w:t xml:space="preserve">. This includes validity check to identify incompatible values, and/or inconsistencies </w:t>
      </w:r>
      <w:r w:rsidR="00D873E3">
        <w:t>among</w:t>
      </w:r>
      <w:r>
        <w:t xml:space="preserve"> the defined fields.</w:t>
      </w:r>
      <w:r w:rsidR="000440AC">
        <w:t xml:space="preserve"> Validity check can be:</w:t>
      </w:r>
    </w:p>
    <w:p w14:paraId="6B9CD4F2" w14:textId="58A2CBE4" w:rsidR="000440AC" w:rsidRDefault="000440AC" w:rsidP="000440AC">
      <w:pPr>
        <w:pStyle w:val="ListParagraph"/>
        <w:numPr>
          <w:ilvl w:val="1"/>
          <w:numId w:val="11"/>
        </w:numPr>
        <w:jc w:val="both"/>
        <w:rPr>
          <w:u w:val="single"/>
        </w:rPr>
      </w:pPr>
      <w:r>
        <w:rPr>
          <w:u w:val="single"/>
        </w:rPr>
        <w:t>Early:</w:t>
      </w:r>
      <w:r w:rsidRPr="000440AC">
        <w:t xml:space="preserve"> in case of </w:t>
      </w:r>
      <w:r w:rsidR="00D832E6" w:rsidRPr="00D832E6">
        <w:rPr>
          <w:i/>
          <w:iCs/>
        </w:rPr>
        <w:t>“</w:t>
      </w:r>
      <w:r w:rsidRPr="00D832E6">
        <w:rPr>
          <w:i/>
          <w:iCs/>
        </w:rPr>
        <w:t>early validity check</w:t>
      </w:r>
      <w:r w:rsidR="00D832E6" w:rsidRPr="00D832E6">
        <w:rPr>
          <w:i/>
          <w:iCs/>
        </w:rPr>
        <w:t>”</w:t>
      </w:r>
      <w:r w:rsidRPr="000440AC">
        <w:t xml:space="preserve"> the </w:t>
      </w:r>
      <w:r>
        <w:t xml:space="preserve">UE will perform validity check </w:t>
      </w:r>
      <w:r w:rsidR="00D832E6">
        <w:t>before the reception of the MAC CE to trigger cell change.</w:t>
      </w:r>
    </w:p>
    <w:p w14:paraId="2832CD19" w14:textId="19E3B2DA" w:rsidR="000440AC" w:rsidRPr="00C32DB4" w:rsidRDefault="000440AC" w:rsidP="000440AC">
      <w:pPr>
        <w:pStyle w:val="ListParagraph"/>
        <w:numPr>
          <w:ilvl w:val="1"/>
          <w:numId w:val="11"/>
        </w:numPr>
        <w:jc w:val="both"/>
        <w:rPr>
          <w:u w:val="single"/>
        </w:rPr>
      </w:pPr>
      <w:r>
        <w:rPr>
          <w:u w:val="single"/>
        </w:rPr>
        <w:t>At the time of execution:</w:t>
      </w:r>
      <w:r w:rsidR="00D832E6" w:rsidRPr="00D832E6">
        <w:t xml:space="preserve"> </w:t>
      </w:r>
      <w:r w:rsidR="00D832E6" w:rsidRPr="000440AC">
        <w:t xml:space="preserve">in case of </w:t>
      </w:r>
      <w:r w:rsidR="00D832E6" w:rsidRPr="00D832E6">
        <w:rPr>
          <w:i/>
          <w:iCs/>
        </w:rPr>
        <w:t>“at the time of execution validity check”</w:t>
      </w:r>
      <w:r w:rsidR="00D832E6" w:rsidRPr="000440AC">
        <w:t xml:space="preserve"> the </w:t>
      </w:r>
      <w:r w:rsidR="00D832E6">
        <w:t>UE will perform validity check upon the reception of the MAC CE to trigger cell change.</w:t>
      </w:r>
    </w:p>
    <w:tbl>
      <w:tblPr>
        <w:tblStyle w:val="TableGrid"/>
        <w:tblW w:w="0" w:type="auto"/>
        <w:jc w:val="center"/>
        <w:tblLook w:val="04A0" w:firstRow="1" w:lastRow="0" w:firstColumn="1" w:lastColumn="0" w:noHBand="0" w:noVBand="1"/>
      </w:tblPr>
      <w:tblGrid>
        <w:gridCol w:w="3165"/>
        <w:gridCol w:w="3233"/>
      </w:tblGrid>
      <w:tr w:rsidR="009109B5" w14:paraId="2C563AF9" w14:textId="14BA0940" w:rsidTr="0091219D">
        <w:trPr>
          <w:jc w:val="center"/>
        </w:trPr>
        <w:tc>
          <w:tcPr>
            <w:tcW w:w="3165" w:type="dxa"/>
          </w:tcPr>
          <w:p w14:paraId="1A9B0A18" w14:textId="2D727E2C" w:rsidR="009109B5" w:rsidRPr="0091219D" w:rsidRDefault="009109B5" w:rsidP="0091219D">
            <w:pPr>
              <w:keepNext/>
              <w:jc w:val="center"/>
            </w:pPr>
            <w:r>
              <w:rPr>
                <w:noProof/>
              </w:rPr>
              <w:drawing>
                <wp:inline distT="0" distB="0" distL="0" distR="0" wp14:anchorId="5C0042AB" wp14:editId="61B30FD0">
                  <wp:extent cx="1816735" cy="2023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6735" cy="2023745"/>
                          </a:xfrm>
                          <a:prstGeom prst="rect">
                            <a:avLst/>
                          </a:prstGeom>
                          <a:noFill/>
                        </pic:spPr>
                      </pic:pic>
                    </a:graphicData>
                  </a:graphic>
                </wp:inline>
              </w:drawing>
            </w:r>
          </w:p>
        </w:tc>
        <w:tc>
          <w:tcPr>
            <w:tcW w:w="3233" w:type="dxa"/>
          </w:tcPr>
          <w:p w14:paraId="48DEF47D" w14:textId="39C63454" w:rsidR="009109B5" w:rsidRDefault="00792568" w:rsidP="0091219D">
            <w:pPr>
              <w:jc w:val="center"/>
              <w:rPr>
                <w:u w:val="single"/>
              </w:rPr>
            </w:pPr>
            <w:r>
              <w:rPr>
                <w:noProof/>
                <w:u w:val="single"/>
              </w:rPr>
              <w:drawing>
                <wp:inline distT="0" distB="0" distL="0" distR="0" wp14:anchorId="53836E34" wp14:editId="6D866CD9">
                  <wp:extent cx="1816735" cy="2023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16735" cy="2023745"/>
                          </a:xfrm>
                          <a:prstGeom prst="rect">
                            <a:avLst/>
                          </a:prstGeom>
                          <a:noFill/>
                        </pic:spPr>
                      </pic:pic>
                    </a:graphicData>
                  </a:graphic>
                </wp:inline>
              </w:drawing>
            </w:r>
          </w:p>
        </w:tc>
      </w:tr>
      <w:tr w:rsidR="009109B5" w14:paraId="0B5E1884" w14:textId="16636B49" w:rsidTr="0091219D">
        <w:trPr>
          <w:jc w:val="center"/>
        </w:trPr>
        <w:tc>
          <w:tcPr>
            <w:tcW w:w="3165" w:type="dxa"/>
          </w:tcPr>
          <w:p w14:paraId="234B1AFC" w14:textId="039D16CB" w:rsidR="009109B5" w:rsidRDefault="009109B5" w:rsidP="0091219D">
            <w:pPr>
              <w:jc w:val="center"/>
              <w:rPr>
                <w:noProof/>
                <w:u w:val="single"/>
              </w:rPr>
            </w:pPr>
            <w:r>
              <w:rPr>
                <w:noProof/>
                <w:u w:val="single"/>
              </w:rPr>
              <w:t>(a)</w:t>
            </w:r>
          </w:p>
        </w:tc>
        <w:tc>
          <w:tcPr>
            <w:tcW w:w="3233" w:type="dxa"/>
          </w:tcPr>
          <w:p w14:paraId="1356FE15" w14:textId="03249719" w:rsidR="009109B5" w:rsidRDefault="009109B5" w:rsidP="0091219D">
            <w:pPr>
              <w:jc w:val="center"/>
              <w:rPr>
                <w:u w:val="single"/>
              </w:rPr>
            </w:pPr>
            <w:r>
              <w:rPr>
                <w:u w:val="single"/>
              </w:rPr>
              <w:t>(b)</w:t>
            </w:r>
          </w:p>
        </w:tc>
      </w:tr>
    </w:tbl>
    <w:p w14:paraId="0A051D4F" w14:textId="0ECC78EA" w:rsidR="00DD4FF4" w:rsidRPr="00ED4E14" w:rsidRDefault="009109B5" w:rsidP="00ED4E14">
      <w:pPr>
        <w:pStyle w:val="Caption"/>
        <w:jc w:val="center"/>
      </w:pPr>
      <w:r>
        <w:t xml:space="preserve">Figure </w:t>
      </w:r>
      <w:r>
        <w:fldChar w:fldCharType="begin"/>
      </w:r>
      <w:r>
        <w:instrText>SEQ Figure \* ARABIC</w:instrText>
      </w:r>
      <w:r>
        <w:fldChar w:fldCharType="separate"/>
      </w:r>
      <w:r w:rsidR="000822FB">
        <w:rPr>
          <w:noProof/>
        </w:rPr>
        <w:t>1</w:t>
      </w:r>
      <w:r>
        <w:fldChar w:fldCharType="end"/>
      </w:r>
      <w:r>
        <w:t xml:space="preserve">: </w:t>
      </w:r>
      <w:r w:rsidR="00221E7B">
        <w:t>(a) RRC Reconfiguration with Reference Configuration being a complete configuration (b) RRC Reconfiguration with Reference Configuration not containing all the target cell fields.</w:t>
      </w:r>
    </w:p>
    <w:p w14:paraId="7908197D" w14:textId="51823F3D" w:rsidR="00C32DB4" w:rsidRPr="00C32DB4" w:rsidRDefault="00C32DB4" w:rsidP="00C32DB4">
      <w:pPr>
        <w:jc w:val="both"/>
      </w:pPr>
      <w:r w:rsidRPr="00C32DB4">
        <w:rPr>
          <w:b/>
          <w:bCs/>
        </w:rPr>
        <w:t>Proposal 1</w:t>
      </w:r>
      <w:r w:rsidRPr="00C32DB4">
        <w:t xml:space="preserve">: </w:t>
      </w:r>
      <w:r w:rsidR="00DD4FF4">
        <w:t>Discuss on the</w:t>
      </w:r>
      <w:r>
        <w:t xml:space="preserve"> above terminology </w:t>
      </w:r>
      <w:r w:rsidR="00DD4FF4">
        <w:t>and agree on a clear definition of terms to use</w:t>
      </w:r>
      <w:r>
        <w:t xml:space="preserve"> in RAN2.</w:t>
      </w:r>
    </w:p>
    <w:p w14:paraId="28D6E63A" w14:textId="31CCFDDA" w:rsidR="00C32DB4" w:rsidRDefault="009339CB" w:rsidP="00C32DB4">
      <w:pPr>
        <w:pStyle w:val="Heading2"/>
      </w:pPr>
      <w:r>
        <w:lastRenderedPageBreak/>
        <w:t>2</w:t>
      </w:r>
      <w:r w:rsidRPr="006E13D1">
        <w:t>.2</w:t>
      </w:r>
      <w:r w:rsidRPr="006E13D1">
        <w:tab/>
      </w:r>
      <w:r w:rsidR="00C32DB4">
        <w:t xml:space="preserve">RRC Reconfiguration Options Considering availability </w:t>
      </w:r>
      <w:r w:rsidR="00457505">
        <w:t xml:space="preserve">Of </w:t>
      </w:r>
      <w:r w:rsidR="00C32DB4">
        <w:t>Reference</w:t>
      </w:r>
    </w:p>
    <w:p w14:paraId="0B4F7247" w14:textId="22AC385C" w:rsidR="00921DD1" w:rsidRDefault="00921DD1" w:rsidP="00921DD1">
      <w:pPr>
        <w:pStyle w:val="Heading3"/>
      </w:pPr>
      <w:r>
        <w:t xml:space="preserve">2.2.1 Reference Configuration is </w:t>
      </w:r>
      <w:r w:rsidR="006E4DCA">
        <w:t xml:space="preserve">a </w:t>
      </w:r>
      <w:r>
        <w:t xml:space="preserve">non-empty configuration </w:t>
      </w:r>
    </w:p>
    <w:p w14:paraId="76BCCEAE" w14:textId="0F4F2CF6" w:rsidR="00C32DB4" w:rsidRDefault="00C32DB4" w:rsidP="002F6666">
      <w:pPr>
        <w:jc w:val="both"/>
        <w:rPr>
          <w:lang w:val="en-US"/>
        </w:rPr>
      </w:pPr>
      <w:r>
        <w:t xml:space="preserve">At the time of the LTM preparation the source cell provides to the UE the Reference </w:t>
      </w:r>
      <w:r w:rsidR="005E28E9">
        <w:t>c</w:t>
      </w:r>
      <w:r>
        <w:t xml:space="preserve">onfiguration and the </w:t>
      </w:r>
      <w:r w:rsidR="009874C8">
        <w:t xml:space="preserve">target cell </w:t>
      </w:r>
      <w:r>
        <w:t xml:space="preserve">configurations </w:t>
      </w:r>
      <w:r w:rsidR="009874C8">
        <w:t>(which can be delta or not)</w:t>
      </w:r>
      <w:r>
        <w:t xml:space="preserve"> of the prepared target cells. As agreed in </w:t>
      </w:r>
      <w:r w:rsidR="00D764AE" w:rsidRPr="005E4D07">
        <w:rPr>
          <w:lang w:val="en-US"/>
        </w:rPr>
        <w:t>R</w:t>
      </w:r>
      <w:r w:rsidR="00D764AE">
        <w:rPr>
          <w:lang w:val="en-US"/>
        </w:rPr>
        <w:t>AN</w:t>
      </w:r>
      <w:r w:rsidR="00D764AE" w:rsidRPr="005E4D07">
        <w:rPr>
          <w:lang w:val="en-US"/>
        </w:rPr>
        <w:t>2</w:t>
      </w:r>
      <w:r w:rsidR="00D764AE">
        <w:rPr>
          <w:lang w:val="en-US"/>
        </w:rPr>
        <w:t>#</w:t>
      </w:r>
      <w:r w:rsidR="00D764AE" w:rsidRPr="005E4D07">
        <w:rPr>
          <w:lang w:val="en-US"/>
        </w:rPr>
        <w:t>12</w:t>
      </w:r>
      <w:r w:rsidR="00D764AE">
        <w:rPr>
          <w:lang w:val="en-US"/>
        </w:rPr>
        <w:t>1</w:t>
      </w:r>
      <w:r w:rsidR="00D764AE" w:rsidRPr="005E4D07">
        <w:rPr>
          <w:lang w:val="en-US"/>
        </w:rPr>
        <w:t xml:space="preserve"> [1]</w:t>
      </w:r>
      <w:r w:rsidR="00D764AE">
        <w:rPr>
          <w:lang w:val="en-US"/>
        </w:rPr>
        <w:t xml:space="preserve"> the Reference can be empty or not.</w:t>
      </w:r>
    </w:p>
    <w:p w14:paraId="6E7B89FE" w14:textId="08E1D5F7" w:rsidR="00D764AE" w:rsidRDefault="00D764AE" w:rsidP="002F6666">
      <w:pPr>
        <w:jc w:val="both"/>
        <w:rPr>
          <w:lang w:val="en-US"/>
        </w:rPr>
      </w:pPr>
      <w:r>
        <w:rPr>
          <w:lang w:val="en-US"/>
        </w:rPr>
        <w:t>In case of a non-empty Reference configuration the following options exist:</w:t>
      </w:r>
    </w:p>
    <w:p w14:paraId="5ADA0759" w14:textId="12BA856B" w:rsidR="00D764AE" w:rsidRDefault="00D764AE" w:rsidP="002F6666">
      <w:pPr>
        <w:pStyle w:val="ListParagraph"/>
        <w:numPr>
          <w:ilvl w:val="0"/>
          <w:numId w:val="12"/>
        </w:numPr>
        <w:jc w:val="both"/>
      </w:pPr>
      <w:r>
        <w:t xml:space="preserve">The Reference configuration is a complete configuration, thus it contains all the </w:t>
      </w:r>
      <w:r w:rsidR="003F3B95">
        <w:t>needed</w:t>
      </w:r>
      <w:r>
        <w:t xml:space="preserve"> </w:t>
      </w:r>
      <w:r w:rsidR="00783C1C">
        <w:t>RRC IEs</w:t>
      </w:r>
      <w:r w:rsidR="003F3B95">
        <w:t xml:space="preserve"> for cell switch</w:t>
      </w:r>
      <w:r>
        <w:t>.</w:t>
      </w:r>
      <w:r w:rsidR="00783C1C">
        <w:t xml:space="preserve"> In this case the Reference configuration can be that of the serving cell at the time of preparation or a separate configuration. </w:t>
      </w:r>
      <w:bookmarkStart w:id="0" w:name="_Hlk131172652"/>
      <w:r w:rsidR="00F83C8D">
        <w:t xml:space="preserve">In case the Reference configuration is </w:t>
      </w:r>
      <w:r w:rsidR="00921DD1">
        <w:t xml:space="preserve">that of </w:t>
      </w:r>
      <w:r w:rsidR="00F83C8D">
        <w:t>the serving cell configuration at the time of the LTM configuration this needs to be indicated to the UE</w:t>
      </w:r>
      <w:bookmarkEnd w:id="0"/>
      <w:r w:rsidR="00F83C8D">
        <w:t>.</w:t>
      </w:r>
    </w:p>
    <w:p w14:paraId="724F9AC9" w14:textId="189D0D0D" w:rsidR="00D764AE" w:rsidRDefault="00D764AE" w:rsidP="002F6666">
      <w:pPr>
        <w:pStyle w:val="ListParagraph"/>
        <w:numPr>
          <w:ilvl w:val="0"/>
          <w:numId w:val="12"/>
        </w:numPr>
        <w:jc w:val="both"/>
      </w:pPr>
      <w:r>
        <w:t xml:space="preserve">The Reference configuration is not a complete configuration, thus it contains </w:t>
      </w:r>
      <w:r w:rsidR="00783C1C">
        <w:t xml:space="preserve">a part of the </w:t>
      </w:r>
      <w:r w:rsidR="003F3B95">
        <w:t>needed</w:t>
      </w:r>
      <w:r w:rsidR="00783C1C">
        <w:t xml:space="preserve"> RRC IEs</w:t>
      </w:r>
      <w:r w:rsidR="003F3B95">
        <w:t xml:space="preserve"> for cell switch</w:t>
      </w:r>
      <w:r w:rsidR="00783C1C">
        <w:t xml:space="preserve">. The benefit of this approach is the reduction of the </w:t>
      </w:r>
      <w:r w:rsidR="0097091F">
        <w:t xml:space="preserve">size of the contained </w:t>
      </w:r>
      <w:proofErr w:type="spellStart"/>
      <w:r w:rsidR="00783C1C" w:rsidRPr="001E1F27">
        <w:rPr>
          <w:i/>
          <w:iCs/>
        </w:rPr>
        <w:t>RRCReconfiguration</w:t>
      </w:r>
      <w:proofErr w:type="spellEnd"/>
      <w:r w:rsidR="00783C1C">
        <w:t xml:space="preserve"> message.</w:t>
      </w:r>
    </w:p>
    <w:p w14:paraId="5D82B338" w14:textId="27073C8F" w:rsidR="00783C1C" w:rsidRDefault="00783C1C" w:rsidP="002F6666">
      <w:pPr>
        <w:jc w:val="both"/>
      </w:pPr>
      <w:r>
        <w:t xml:space="preserve">In any case the UE will have to apply the target cell (delta) configuration in order to create a complete configuration for the Target cell. </w:t>
      </w:r>
    </w:p>
    <w:p w14:paraId="5BAB0B8B" w14:textId="096F70B4" w:rsidR="002F6666" w:rsidRDefault="002F6666" w:rsidP="002F6666">
      <w:pPr>
        <w:jc w:val="both"/>
      </w:pPr>
      <w:r w:rsidRPr="002F6666">
        <w:rPr>
          <w:b/>
          <w:bCs/>
        </w:rPr>
        <w:t>Proposal 2:</w:t>
      </w:r>
      <w:r>
        <w:t xml:space="preserve"> Whether the Reference </w:t>
      </w:r>
      <w:r w:rsidR="00891025">
        <w:t>c</w:t>
      </w:r>
      <w:r>
        <w:t>onfiguration is a complete configuration or not is up to the network implementation.</w:t>
      </w:r>
      <w:r w:rsidR="004521BD">
        <w:t xml:space="preserve"> FFS i</w:t>
      </w:r>
      <w:r w:rsidR="00013CB4">
        <w:t>f</w:t>
      </w:r>
      <w:r w:rsidR="004521BD">
        <w:t xml:space="preserve"> special </w:t>
      </w:r>
      <w:r w:rsidR="00013CB4">
        <w:t>notification is needed to be provided to the UE indicating a non-empty/empty Reference configuration.</w:t>
      </w:r>
    </w:p>
    <w:p w14:paraId="411882A3" w14:textId="007AEF13" w:rsidR="00F83C8D" w:rsidRPr="00F83C8D" w:rsidRDefault="00F83C8D" w:rsidP="002F6666">
      <w:pPr>
        <w:jc w:val="both"/>
        <w:rPr>
          <w:b/>
          <w:bCs/>
        </w:rPr>
      </w:pPr>
      <w:r w:rsidRPr="00F83C8D">
        <w:rPr>
          <w:b/>
          <w:bCs/>
        </w:rPr>
        <w:t xml:space="preserve">Proposal 3: </w:t>
      </w:r>
      <w:r w:rsidRPr="00F83C8D">
        <w:t xml:space="preserve">In case the Reference configuration is </w:t>
      </w:r>
      <w:r w:rsidR="00891025">
        <w:t xml:space="preserve">that of </w:t>
      </w:r>
      <w:r w:rsidRPr="00F83C8D">
        <w:t>the serving cell configuration</w:t>
      </w:r>
      <w:r w:rsidR="004E5B68">
        <w:t xml:space="preserve"> (which is a complete configuration)</w:t>
      </w:r>
      <w:r w:rsidRPr="00F83C8D">
        <w:t xml:space="preserve"> at the time of the LTM configuration this needs to be indicated to the UE</w:t>
      </w:r>
      <w:r w:rsidR="00891025">
        <w:t xml:space="preserve"> in the RRC</w:t>
      </w:r>
      <w:r>
        <w:t>.</w:t>
      </w:r>
    </w:p>
    <w:p w14:paraId="1BC82ECA" w14:textId="6B7C8C2B" w:rsidR="009339CB" w:rsidRDefault="002F6666" w:rsidP="002F6666">
      <w:pPr>
        <w:jc w:val="both"/>
      </w:pPr>
      <w:r>
        <w:t xml:space="preserve">One additional part that should be clarified is that the Reference and the target cell (delta) configuration can be </w:t>
      </w:r>
      <w:r w:rsidR="00850491">
        <w:t>disjoint</w:t>
      </w:r>
      <w:r>
        <w:t xml:space="preserve"> or not. The Reference and the target cell delta configuration being disjoint means that they do not share common IE whereas lack of </w:t>
      </w:r>
      <w:r w:rsidR="00372634">
        <w:t>‘’</w:t>
      </w:r>
      <w:r>
        <w:t>disjoint</w:t>
      </w:r>
      <w:r w:rsidR="00161F7E">
        <w:t>-</w:t>
      </w:r>
      <w:r>
        <w:t>ness</w:t>
      </w:r>
      <w:r w:rsidR="00372634">
        <w:t>’’</w:t>
      </w:r>
      <w:r>
        <w:t xml:space="preserve"> means that delta and Reference may share some common IEs. In the latter case the </w:t>
      </w:r>
      <w:r w:rsidR="00987E4E">
        <w:t>overlapping</w:t>
      </w:r>
      <w:r w:rsidR="00161F7E">
        <w:t xml:space="preserve"> fields of the target cell delta configuration will be applied on top of the reference in order to create a complete configuration. </w:t>
      </w:r>
      <w:r w:rsidR="008C1577">
        <w:t>F</w:t>
      </w:r>
      <w:r w:rsidR="00161F7E">
        <w:t xml:space="preserve">or the Reference and the target cell delta configuration to be disjoint the Reference configuration should not be a complete configuration. However, for ensuring disjoint-ness the Reference configuration cannot contain cell specific IEs, which is not always possible, especially since </w:t>
      </w:r>
      <w:r w:rsidR="004B5949">
        <w:t>different</w:t>
      </w:r>
      <w:r w:rsidR="00161F7E">
        <w:t xml:space="preserve"> target cells may have different fields</w:t>
      </w:r>
      <w:r w:rsidR="008C1577">
        <w:t xml:space="preserve"> in their delta configurations</w:t>
      </w:r>
      <w:r w:rsidR="00161F7E">
        <w:t>.</w:t>
      </w:r>
    </w:p>
    <w:p w14:paraId="521D57FB" w14:textId="3FBCE8CD" w:rsidR="00161F7E" w:rsidRDefault="00161F7E" w:rsidP="002F6666">
      <w:pPr>
        <w:jc w:val="both"/>
      </w:pPr>
      <w:r>
        <w:rPr>
          <w:b/>
          <w:bCs/>
        </w:rPr>
        <w:t>Observation 1</w:t>
      </w:r>
      <w:r w:rsidRPr="00161F7E">
        <w:rPr>
          <w:b/>
          <w:bCs/>
        </w:rPr>
        <w:t xml:space="preserve">: </w:t>
      </w:r>
      <w:r>
        <w:t xml:space="preserve">Ensuring disjoint-ness between Reference configuration and target cell delta configuration is not always possible. </w:t>
      </w:r>
    </w:p>
    <w:p w14:paraId="4D3BDCA2" w14:textId="5B65B500" w:rsidR="00F83C8D" w:rsidRDefault="00F83C8D" w:rsidP="002F6666">
      <w:pPr>
        <w:jc w:val="both"/>
      </w:pPr>
      <w:r w:rsidRPr="00F83C8D">
        <w:rPr>
          <w:b/>
          <w:bCs/>
        </w:rPr>
        <w:t>Proposal 3:</w:t>
      </w:r>
      <w:r>
        <w:rPr>
          <w:b/>
          <w:bCs/>
        </w:rPr>
        <w:t xml:space="preserve"> </w:t>
      </w:r>
      <w:r w:rsidRPr="00F83C8D">
        <w:t>Disjoint</w:t>
      </w:r>
      <w:r>
        <w:t>-</w:t>
      </w:r>
      <w:r w:rsidRPr="00F83C8D">
        <w:t xml:space="preserve">ness between Reference configuration and </w:t>
      </w:r>
      <w:r w:rsidR="003756EF">
        <w:t>target cell delta configuration</w:t>
      </w:r>
      <w:r w:rsidRPr="00F83C8D">
        <w:t xml:space="preserve"> is not mandatory.</w:t>
      </w:r>
    </w:p>
    <w:p w14:paraId="53022901" w14:textId="6B18DA7F" w:rsidR="00921DD1" w:rsidRDefault="00921DD1" w:rsidP="00921DD1">
      <w:pPr>
        <w:pStyle w:val="Heading3"/>
      </w:pPr>
      <w:r>
        <w:t>2.2.2 Reference Configuration</w:t>
      </w:r>
      <w:r w:rsidRPr="00921DD1">
        <w:t xml:space="preserve"> </w:t>
      </w:r>
      <w:r>
        <w:t>is not provided or is empty</w:t>
      </w:r>
    </w:p>
    <w:p w14:paraId="25EFB91C" w14:textId="2A7E71C8" w:rsidR="00F83C8D" w:rsidRDefault="00F83C8D" w:rsidP="002F6666">
      <w:pPr>
        <w:jc w:val="both"/>
      </w:pPr>
      <w:r>
        <w:t xml:space="preserve">In case of Reference Configuration is </w:t>
      </w:r>
      <w:r w:rsidR="00AC27B4">
        <w:t xml:space="preserve">either </w:t>
      </w:r>
      <w:r>
        <w:t>not provided or</w:t>
      </w:r>
      <w:r w:rsidDel="00AC27B4">
        <w:t xml:space="preserve"> </w:t>
      </w:r>
      <w:r>
        <w:t>is empty</w:t>
      </w:r>
      <w:r w:rsidR="00AC27B4">
        <w:t>,</w:t>
      </w:r>
      <w:r w:rsidR="00921DD1">
        <w:t xml:space="preserve"> there are the following options</w:t>
      </w:r>
      <w:r w:rsidR="004B5949">
        <w:t>:</w:t>
      </w:r>
    </w:p>
    <w:p w14:paraId="537B6DD6" w14:textId="2264FFFF" w:rsidR="00921DD1" w:rsidRDefault="00921DD1" w:rsidP="00921DD1">
      <w:pPr>
        <w:pStyle w:val="ListParagraph"/>
        <w:numPr>
          <w:ilvl w:val="0"/>
          <w:numId w:val="14"/>
        </w:numPr>
        <w:jc w:val="both"/>
      </w:pPr>
      <w:r w:rsidRPr="00921DD1">
        <w:t>The target cell configuration is a complete configuration</w:t>
      </w:r>
      <w:r>
        <w:t xml:space="preserve">. In this case when the UE receives the cell switch command it applies </w:t>
      </w:r>
      <w:r w:rsidR="00190643">
        <w:t xml:space="preserve">(only) </w:t>
      </w:r>
      <w:r>
        <w:t>the target cell configuration</w:t>
      </w:r>
      <w:r w:rsidR="002F356C">
        <w:t xml:space="preserve"> (on top of current RRC configuration)</w:t>
      </w:r>
      <w:r>
        <w:t>.</w:t>
      </w:r>
    </w:p>
    <w:p w14:paraId="2331BFF0" w14:textId="5FDAA7A4" w:rsidR="00921DD1" w:rsidRDefault="00921DD1" w:rsidP="00921DD1">
      <w:pPr>
        <w:pStyle w:val="ListParagraph"/>
        <w:numPr>
          <w:ilvl w:val="0"/>
          <w:numId w:val="14"/>
        </w:numPr>
        <w:jc w:val="both"/>
      </w:pPr>
      <w:r>
        <w:t xml:space="preserve">The target cells configuration is a delta configuration. In this case when the UE receives the cell switch command it will apply the delta configuration on top of the current (at the time of the reception of the cell switch command) serving cell configuration. </w:t>
      </w:r>
      <w:r w:rsidR="00F5761A">
        <w:t>I</w:t>
      </w:r>
      <w:r w:rsidR="00445E23">
        <w:t>n order to ensure smooth operation in case of</w:t>
      </w:r>
      <w:r>
        <w:t xml:space="preserve"> subsequent cell changes without RRC Reconfiguration (i.e., Dynamic Switch), the </w:t>
      </w:r>
      <w:r w:rsidR="00445E23">
        <w:t>target cell configurations need to contain the same IE; thus when the cell change occurs only the same fields are updated.</w:t>
      </w:r>
      <w:r>
        <w:t xml:space="preserve">  </w:t>
      </w:r>
    </w:p>
    <w:p w14:paraId="08DA1132" w14:textId="241A2D4E" w:rsidR="00445E23" w:rsidRDefault="00445E23" w:rsidP="00445E23">
      <w:pPr>
        <w:jc w:val="both"/>
      </w:pPr>
      <w:r w:rsidRPr="00445E23">
        <w:rPr>
          <w:b/>
          <w:bCs/>
        </w:rPr>
        <w:t xml:space="preserve">Observation </w:t>
      </w:r>
      <w:r w:rsidR="006B3CAA">
        <w:rPr>
          <w:b/>
          <w:bCs/>
        </w:rPr>
        <w:t>2</w:t>
      </w:r>
      <w:r w:rsidRPr="00445E23">
        <w:rPr>
          <w:b/>
          <w:bCs/>
        </w:rPr>
        <w:t xml:space="preserve">: </w:t>
      </w:r>
      <w:r>
        <w:t xml:space="preserve">In order to ensure smooth operation in case of subsequent cell changes, when </w:t>
      </w:r>
      <w:r w:rsidRPr="00445E23">
        <w:t>Reference Configuration is not provided or is empty</w:t>
      </w:r>
      <w:r>
        <w:t xml:space="preserve">, without RRC Reconfiguration (i.e., Dynamic Switch), the target cell configurations need to be either complete configurations, or to contain the same IE (in case of delta configurations). </w:t>
      </w:r>
    </w:p>
    <w:p w14:paraId="79A0BA8C" w14:textId="1B48E187" w:rsidR="00445E23" w:rsidRPr="003A211A" w:rsidRDefault="00445E23" w:rsidP="00445E23">
      <w:pPr>
        <w:jc w:val="both"/>
      </w:pPr>
      <w:r>
        <w:t xml:space="preserve">As it is obvious, ensuring smooth operation in dynamic switching without Reference configuration practically </w:t>
      </w:r>
      <w:r w:rsidR="00932748">
        <w:t>entails</w:t>
      </w:r>
      <w:r>
        <w:t xml:space="preserve"> </w:t>
      </w:r>
      <w:r w:rsidR="00C7671D">
        <w:t>all target cell-specific delta configurations contain the same fields</w:t>
      </w:r>
      <w:r w:rsidR="00932748">
        <w:t>. I</w:t>
      </w:r>
      <w:r w:rsidR="00C7671D">
        <w:t>n other words</w:t>
      </w:r>
      <w:r w:rsidR="006F6215">
        <w:t>,</w:t>
      </w:r>
      <w:r w:rsidR="00C7671D">
        <w:t xml:space="preserve"> it </w:t>
      </w:r>
      <w:r>
        <w:t xml:space="preserve">requires a </w:t>
      </w:r>
      <w:r w:rsidRPr="003A211A">
        <w:t xml:space="preserve">solution similar to Reference </w:t>
      </w:r>
      <w:r w:rsidR="003E148F">
        <w:t>c</w:t>
      </w:r>
      <w:r w:rsidRPr="003A211A">
        <w:t>onfiguration</w:t>
      </w:r>
      <w:r w:rsidRPr="003A211A" w:rsidDel="001638C6">
        <w:t xml:space="preserve">, where </w:t>
      </w:r>
      <w:r w:rsidRPr="003A211A">
        <w:t>the Reference is not complete configuration</w:t>
      </w:r>
      <w:r w:rsidR="00932748">
        <w:t xml:space="preserve"> and</w:t>
      </w:r>
      <w:r w:rsidR="004B6F07" w:rsidRPr="003A211A">
        <w:t xml:space="preserve"> the Reference in this case is that of the serving cell at the time of the configuration.</w:t>
      </w:r>
    </w:p>
    <w:p w14:paraId="0FE37C4E" w14:textId="5600C9DD" w:rsidR="004B6F07" w:rsidRPr="003A211A" w:rsidRDefault="004B6F07" w:rsidP="00445E23">
      <w:pPr>
        <w:jc w:val="both"/>
      </w:pPr>
      <w:r w:rsidRPr="003A211A">
        <w:rPr>
          <w:b/>
          <w:bCs/>
        </w:rPr>
        <w:lastRenderedPageBreak/>
        <w:t>Proposal 4:</w:t>
      </w:r>
      <w:r w:rsidRPr="003A211A">
        <w:t xml:space="preserve"> RAN2 to agree that </w:t>
      </w:r>
      <w:r w:rsidR="003E148F">
        <w:t>R</w:t>
      </w:r>
      <w:r w:rsidRPr="003A211A">
        <w:t>eference configuration is mandatory</w:t>
      </w:r>
      <w:r w:rsidR="003E148F">
        <w:t xml:space="preserve"> in case of dynamic switching in LTM</w:t>
      </w:r>
      <w:r w:rsidRPr="003A211A">
        <w:t xml:space="preserve">. </w:t>
      </w:r>
    </w:p>
    <w:p w14:paraId="2DE2E859" w14:textId="774D0A9C" w:rsidR="004B6F07" w:rsidRPr="00445E23" w:rsidRDefault="004B6F07" w:rsidP="00445E23">
      <w:pPr>
        <w:jc w:val="both"/>
      </w:pPr>
      <w:r w:rsidRPr="003A211A">
        <w:rPr>
          <w:b/>
          <w:bCs/>
        </w:rPr>
        <w:t>Proposal 5:</w:t>
      </w:r>
      <w:r w:rsidRPr="003A211A">
        <w:t xml:space="preserve"> RAN2 to agree that if </w:t>
      </w:r>
      <w:r w:rsidR="003E148F">
        <w:t>R</w:t>
      </w:r>
      <w:r w:rsidRPr="003A211A">
        <w:t>eference configuration is not provided to the UE, the target cells configurations are complete configurations.</w:t>
      </w:r>
    </w:p>
    <w:p w14:paraId="3107498B" w14:textId="5305B64E" w:rsidR="00485652" w:rsidRDefault="00485652" w:rsidP="00485652">
      <w:pPr>
        <w:pStyle w:val="Heading2"/>
      </w:pPr>
      <w:r>
        <w:t>2</w:t>
      </w:r>
      <w:r w:rsidRPr="006E13D1">
        <w:t>.</w:t>
      </w:r>
      <w:r>
        <w:t>3</w:t>
      </w:r>
      <w:r w:rsidRPr="006E13D1">
        <w:tab/>
      </w:r>
      <w:r>
        <w:t>RRC Reconfiguration Validity Check</w:t>
      </w:r>
    </w:p>
    <w:p w14:paraId="54A8AEDD" w14:textId="028D8E1B" w:rsidR="00485652" w:rsidRDefault="00485652" w:rsidP="00F5761A">
      <w:pPr>
        <w:jc w:val="both"/>
      </w:pPr>
      <w:r>
        <w:t xml:space="preserve">Similarly to the previous cases, we think that we should clarify the UE operation regarding the validity check and elaborate on the possible options. </w:t>
      </w:r>
    </w:p>
    <w:p w14:paraId="0B9157FC" w14:textId="1F781053" w:rsidR="00F5761A" w:rsidRPr="00F5761A" w:rsidRDefault="00F5761A" w:rsidP="00F5761A">
      <w:pPr>
        <w:pStyle w:val="ListParagraph"/>
        <w:numPr>
          <w:ilvl w:val="0"/>
          <w:numId w:val="15"/>
        </w:numPr>
        <w:jc w:val="both"/>
        <w:rPr>
          <w:b/>
          <w:bCs/>
        </w:rPr>
      </w:pPr>
      <w:r w:rsidRPr="00F5761A">
        <w:rPr>
          <w:b/>
          <w:bCs/>
        </w:rPr>
        <w:t>Reference Configuration is non-empty</w:t>
      </w:r>
    </w:p>
    <w:p w14:paraId="5C170CE1" w14:textId="7C4AB06E" w:rsidR="00F5761A" w:rsidRDefault="00F5761A" w:rsidP="00F5761A">
      <w:pPr>
        <w:pStyle w:val="ListParagraph"/>
        <w:numPr>
          <w:ilvl w:val="1"/>
          <w:numId w:val="15"/>
        </w:numPr>
        <w:jc w:val="both"/>
      </w:pPr>
      <w:r>
        <w:t>The UE, upon the reception of the RRC reconfiguration for the LTM preparation, decode the RRC Reconfiguration message (which contains the reference and the target cells deltas), and appl</w:t>
      </w:r>
      <w:r w:rsidR="00EA7EC8">
        <w:t>ies</w:t>
      </w:r>
      <w:r>
        <w:t xml:space="preserve"> the target cell delta configuration on top of the Reference and creates a complete configuration. Once it has created target cells complete configurations it can </w:t>
      </w:r>
      <w:r w:rsidR="00464D54">
        <w:t>perform early validity check for these configurations</w:t>
      </w:r>
      <w:r w:rsidR="00EF5544">
        <w:t xml:space="preserve"> (Figure 2a)</w:t>
      </w:r>
      <w:r w:rsidR="00464D54">
        <w:t>.</w:t>
      </w:r>
    </w:p>
    <w:p w14:paraId="428EF962" w14:textId="445CE7AA" w:rsidR="004A7984" w:rsidRDefault="00FB62ED" w:rsidP="00FB62ED">
      <w:pPr>
        <w:pStyle w:val="ListParagraph"/>
        <w:numPr>
          <w:ilvl w:val="2"/>
          <w:numId w:val="15"/>
        </w:numPr>
        <w:jc w:val="both"/>
      </w:pPr>
      <w:r>
        <w:t xml:space="preserve">Pros: </w:t>
      </w:r>
    </w:p>
    <w:p w14:paraId="3B302F89" w14:textId="1D2F9F56" w:rsidR="004A7984" w:rsidRDefault="004A7984" w:rsidP="004A7984">
      <w:pPr>
        <w:pStyle w:val="ListParagraph"/>
        <w:numPr>
          <w:ilvl w:val="3"/>
          <w:numId w:val="15"/>
        </w:numPr>
        <w:jc w:val="both"/>
      </w:pPr>
      <w:r>
        <w:t xml:space="preserve">Early validity check can be performed for all target cells in time and this can enable the UE and the network to react, e.g., the UE can inform the network about </w:t>
      </w:r>
      <w:r w:rsidR="002B056A">
        <w:t>any</w:t>
      </w:r>
      <w:r>
        <w:t xml:space="preserve"> invalid configuration</w:t>
      </w:r>
      <w:r w:rsidR="002B056A">
        <w:t xml:space="preserve"> before it is actually used for accessing this target cell</w:t>
      </w:r>
      <w:r>
        <w:t>.</w:t>
      </w:r>
    </w:p>
    <w:p w14:paraId="61C85218" w14:textId="43BE10E7" w:rsidR="00FB62ED" w:rsidRDefault="00FB62ED" w:rsidP="00FB62ED">
      <w:pPr>
        <w:pStyle w:val="ListParagraph"/>
        <w:numPr>
          <w:ilvl w:val="2"/>
          <w:numId w:val="15"/>
        </w:numPr>
        <w:jc w:val="both"/>
      </w:pPr>
      <w:r>
        <w:t xml:space="preserve">Cons: </w:t>
      </w:r>
    </w:p>
    <w:p w14:paraId="7A86E88D" w14:textId="77777777" w:rsidR="004A7984" w:rsidRDefault="004A7984" w:rsidP="004A7984">
      <w:pPr>
        <w:pStyle w:val="ListParagraph"/>
        <w:numPr>
          <w:ilvl w:val="3"/>
          <w:numId w:val="15"/>
        </w:numPr>
        <w:jc w:val="both"/>
      </w:pPr>
      <w:r>
        <w:t xml:space="preserve">processing heavy since the UE needs to create and store all target cell complete configurations before the reception of the cell switch command. </w:t>
      </w:r>
    </w:p>
    <w:p w14:paraId="6D9B4163" w14:textId="7587021B" w:rsidR="004A7984" w:rsidRDefault="004A7984" w:rsidP="004A7984">
      <w:pPr>
        <w:pStyle w:val="ListParagraph"/>
        <w:numPr>
          <w:ilvl w:val="3"/>
          <w:numId w:val="15"/>
        </w:numPr>
        <w:jc w:val="both"/>
      </w:pPr>
      <w:r>
        <w:t xml:space="preserve">processing is needed even for cells that the UE </w:t>
      </w:r>
      <w:r w:rsidR="00366EAF">
        <w:t>may</w:t>
      </w:r>
      <w:r w:rsidR="006E7FAA">
        <w:t xml:space="preserve"> </w:t>
      </w:r>
      <w:r>
        <w:t>even</w:t>
      </w:r>
      <w:r w:rsidR="006E7FAA">
        <w:t xml:space="preserve"> never</w:t>
      </w:r>
      <w:r>
        <w:t xml:space="preserve"> access.</w:t>
      </w:r>
    </w:p>
    <w:p w14:paraId="09880AB0" w14:textId="534BEFC9" w:rsidR="00F5761A" w:rsidRDefault="00F5761A" w:rsidP="00F5761A">
      <w:pPr>
        <w:pStyle w:val="ListParagraph"/>
        <w:numPr>
          <w:ilvl w:val="1"/>
          <w:numId w:val="15"/>
        </w:numPr>
        <w:jc w:val="both"/>
      </w:pPr>
      <w:r>
        <w:t>The UE, upon the reception of the RRC reconfiguration for the LTM preparation, decode</w:t>
      </w:r>
      <w:r w:rsidR="00464D54">
        <w:t>s</w:t>
      </w:r>
      <w:r>
        <w:t xml:space="preserve"> </w:t>
      </w:r>
      <w:r w:rsidR="00464D54">
        <w:t>only the Reference Configuration and performs early validity check only on it.</w:t>
      </w:r>
      <w:r w:rsidR="00FB62ED">
        <w:t xml:space="preserve"> At the time of the reception of the MAC CE to trigger cell change the UE will perform </w:t>
      </w:r>
      <w:r w:rsidR="00FB62ED" w:rsidRPr="00FB62ED">
        <w:t>validity check</w:t>
      </w:r>
      <w:r w:rsidR="00FB62ED">
        <w:t xml:space="preserve"> to the (complete) target cell configuration</w:t>
      </w:r>
      <w:r w:rsidR="00EF5544">
        <w:t xml:space="preserve"> (Figure 2b)</w:t>
      </w:r>
      <w:r w:rsidR="00FB62ED">
        <w:t>.</w:t>
      </w:r>
    </w:p>
    <w:p w14:paraId="333393EB" w14:textId="77777777" w:rsidR="004A7984" w:rsidRDefault="004A7984" w:rsidP="004A7984">
      <w:pPr>
        <w:pStyle w:val="ListParagraph"/>
        <w:numPr>
          <w:ilvl w:val="2"/>
          <w:numId w:val="15"/>
        </w:numPr>
        <w:jc w:val="both"/>
      </w:pPr>
      <w:r>
        <w:t xml:space="preserve">Pros: </w:t>
      </w:r>
    </w:p>
    <w:p w14:paraId="5CBE761C" w14:textId="0D25A622" w:rsidR="004A7984" w:rsidRDefault="004A7984" w:rsidP="004A7984">
      <w:pPr>
        <w:pStyle w:val="ListParagraph"/>
        <w:numPr>
          <w:ilvl w:val="3"/>
          <w:numId w:val="15"/>
        </w:numPr>
        <w:jc w:val="both"/>
      </w:pPr>
      <w:r>
        <w:t xml:space="preserve">Early validity check is performed for the Reference Configuration which enables that </w:t>
      </w:r>
      <w:r w:rsidR="00D80A08">
        <w:t>an</w:t>
      </w:r>
      <w:r>
        <w:t xml:space="preserve"> invalid </w:t>
      </w:r>
      <w:r w:rsidR="00D80A08">
        <w:t xml:space="preserve">Reference </w:t>
      </w:r>
      <w:r>
        <w:t>configuration can be identified in time and the UE and the network can react, e.g., the UE can inform the network about the invalid reference configuration</w:t>
      </w:r>
    </w:p>
    <w:p w14:paraId="789A9F6E" w14:textId="75FF12AA" w:rsidR="004A7984" w:rsidRDefault="004A7984" w:rsidP="004A7984">
      <w:pPr>
        <w:pStyle w:val="ListParagraph"/>
        <w:numPr>
          <w:ilvl w:val="3"/>
          <w:numId w:val="15"/>
        </w:numPr>
        <w:jc w:val="both"/>
      </w:pPr>
      <w:r>
        <w:t>It is not that processing heavy since only one configuration is evaluated for validity.</w:t>
      </w:r>
    </w:p>
    <w:p w14:paraId="11C604EA" w14:textId="77777777" w:rsidR="004A7984" w:rsidRDefault="004A7984" w:rsidP="004A7984">
      <w:pPr>
        <w:pStyle w:val="ListParagraph"/>
        <w:numPr>
          <w:ilvl w:val="2"/>
          <w:numId w:val="15"/>
        </w:numPr>
        <w:jc w:val="both"/>
      </w:pPr>
      <w:r>
        <w:t xml:space="preserve">Cons: </w:t>
      </w:r>
    </w:p>
    <w:p w14:paraId="4ED8A9ED" w14:textId="4C65DCCA" w:rsidR="00915226" w:rsidRDefault="004A7984" w:rsidP="004A7984">
      <w:pPr>
        <w:pStyle w:val="ListParagraph"/>
        <w:numPr>
          <w:ilvl w:val="3"/>
          <w:numId w:val="15"/>
        </w:numPr>
        <w:jc w:val="both"/>
      </w:pPr>
      <w:r>
        <w:t>The target cells delta configurations are not evaluated and also the complete configurations are not evaluated for inconsistencies.</w:t>
      </w:r>
    </w:p>
    <w:p w14:paraId="7AD3FD6F" w14:textId="4A9DE300" w:rsidR="00AD264B" w:rsidRDefault="00AD264B" w:rsidP="00AD264B">
      <w:pPr>
        <w:jc w:val="both"/>
      </w:pPr>
    </w:p>
    <w:tbl>
      <w:tblPr>
        <w:tblStyle w:val="TableGrid"/>
        <w:tblW w:w="10343" w:type="dxa"/>
        <w:tblLook w:val="04A0" w:firstRow="1" w:lastRow="0" w:firstColumn="1" w:lastColumn="0" w:noHBand="0" w:noVBand="1"/>
      </w:tblPr>
      <w:tblGrid>
        <w:gridCol w:w="10343"/>
      </w:tblGrid>
      <w:tr w:rsidR="00AD264B" w14:paraId="63B516D0" w14:textId="77777777" w:rsidTr="004B5FFC">
        <w:tc>
          <w:tcPr>
            <w:tcW w:w="10343" w:type="dxa"/>
          </w:tcPr>
          <w:p w14:paraId="3B6275B0" w14:textId="77777777" w:rsidR="00AD264B" w:rsidRDefault="00AD264B" w:rsidP="004B5FFC">
            <w:pPr>
              <w:spacing w:after="0"/>
              <w:jc w:val="center"/>
              <w:rPr>
                <w:noProof/>
              </w:rPr>
            </w:pPr>
            <w:r>
              <w:rPr>
                <w:noProof/>
              </w:rPr>
              <w:lastRenderedPageBreak/>
              <w:drawing>
                <wp:inline distT="0" distB="0" distL="0" distR="0" wp14:anchorId="6C944E72" wp14:editId="10925644">
                  <wp:extent cx="4525539" cy="3420000"/>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5539" cy="3420000"/>
                          </a:xfrm>
                          <a:prstGeom prst="rect">
                            <a:avLst/>
                          </a:prstGeom>
                          <a:noFill/>
                        </pic:spPr>
                      </pic:pic>
                    </a:graphicData>
                  </a:graphic>
                </wp:inline>
              </w:drawing>
            </w:r>
          </w:p>
          <w:p w14:paraId="4B49A7BF" w14:textId="77777777" w:rsidR="00AD264B" w:rsidRDefault="00AD264B" w:rsidP="004B5FFC">
            <w:pPr>
              <w:spacing w:after="0"/>
              <w:jc w:val="center"/>
              <w:rPr>
                <w:noProof/>
              </w:rPr>
            </w:pPr>
            <w:r>
              <w:rPr>
                <w:noProof/>
              </w:rPr>
              <w:t>(a)</w:t>
            </w:r>
          </w:p>
        </w:tc>
      </w:tr>
      <w:tr w:rsidR="00AD264B" w14:paraId="12762C71" w14:textId="77777777" w:rsidTr="004B5FFC">
        <w:tc>
          <w:tcPr>
            <w:tcW w:w="10343" w:type="dxa"/>
          </w:tcPr>
          <w:p w14:paraId="35390DE4" w14:textId="77777777" w:rsidR="00AD264B" w:rsidRDefault="00AD264B" w:rsidP="004B5FFC">
            <w:pPr>
              <w:spacing w:after="0"/>
              <w:jc w:val="center"/>
              <w:rPr>
                <w:noProof/>
              </w:rPr>
            </w:pPr>
            <w:r>
              <w:rPr>
                <w:noProof/>
              </w:rPr>
              <w:drawing>
                <wp:inline distT="0" distB="0" distL="0" distR="0" wp14:anchorId="59042314" wp14:editId="0EC28ED6">
                  <wp:extent cx="5291493" cy="3420000"/>
                  <wp:effectExtent l="0" t="0" r="444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1493" cy="3420000"/>
                          </a:xfrm>
                          <a:prstGeom prst="rect">
                            <a:avLst/>
                          </a:prstGeom>
                          <a:noFill/>
                        </pic:spPr>
                      </pic:pic>
                    </a:graphicData>
                  </a:graphic>
                </wp:inline>
              </w:drawing>
            </w:r>
          </w:p>
          <w:p w14:paraId="68D6C5FB" w14:textId="77777777" w:rsidR="00AD264B" w:rsidRDefault="00AD264B" w:rsidP="004B5FFC">
            <w:pPr>
              <w:spacing w:after="0"/>
              <w:jc w:val="center"/>
              <w:rPr>
                <w:noProof/>
              </w:rPr>
            </w:pPr>
            <w:r>
              <w:rPr>
                <w:noProof/>
              </w:rPr>
              <w:t>(b)</w:t>
            </w:r>
          </w:p>
        </w:tc>
      </w:tr>
    </w:tbl>
    <w:p w14:paraId="5A93A0FF" w14:textId="77777777" w:rsidR="00AD264B" w:rsidRDefault="00AD264B" w:rsidP="00AD264B">
      <w:pPr>
        <w:pStyle w:val="Caption"/>
        <w:jc w:val="center"/>
      </w:pPr>
      <w:r>
        <w:t xml:space="preserve">Figure </w:t>
      </w:r>
      <w:r>
        <w:fldChar w:fldCharType="begin"/>
      </w:r>
      <w:r>
        <w:instrText>SEQ Figure \* ARABIC</w:instrText>
      </w:r>
      <w:r>
        <w:fldChar w:fldCharType="separate"/>
      </w:r>
      <w:r>
        <w:rPr>
          <w:noProof/>
        </w:rPr>
        <w:t>2</w:t>
      </w:r>
      <w:r>
        <w:fldChar w:fldCharType="end"/>
      </w:r>
      <w:r>
        <w:t xml:space="preserve">: Validity check of target cell configurations with non-empty </w:t>
      </w:r>
      <w:r w:rsidRPr="00260D94">
        <w:t xml:space="preserve">Reference </w:t>
      </w:r>
      <w:r>
        <w:t>c</w:t>
      </w:r>
      <w:r w:rsidRPr="00260D94">
        <w:t xml:space="preserve">onfiguration </w:t>
      </w:r>
    </w:p>
    <w:p w14:paraId="338C94C2" w14:textId="31538D24" w:rsidR="004A7984" w:rsidRDefault="004A7984" w:rsidP="003E17CC">
      <w:pPr>
        <w:pStyle w:val="ListParagraph"/>
        <w:ind w:left="2880"/>
        <w:jc w:val="both"/>
      </w:pPr>
    </w:p>
    <w:p w14:paraId="7D6AE222" w14:textId="0AC1193A" w:rsidR="00FB62ED" w:rsidRPr="00FB62ED" w:rsidRDefault="00FB62ED" w:rsidP="00FB62ED">
      <w:pPr>
        <w:pStyle w:val="ListParagraph"/>
        <w:numPr>
          <w:ilvl w:val="0"/>
          <w:numId w:val="15"/>
        </w:numPr>
        <w:jc w:val="both"/>
      </w:pPr>
      <w:r w:rsidRPr="00FB62ED">
        <w:rPr>
          <w:b/>
          <w:bCs/>
        </w:rPr>
        <w:t xml:space="preserve">Reference Configuration </w:t>
      </w:r>
      <w:r w:rsidR="00DF7F90" w:rsidRPr="00DF7F90">
        <w:rPr>
          <w:b/>
          <w:bCs/>
        </w:rPr>
        <w:t>is not provided or is empty</w:t>
      </w:r>
    </w:p>
    <w:p w14:paraId="3A9074EE" w14:textId="78630BF6" w:rsidR="00F83C8D" w:rsidRDefault="00FB62ED">
      <w:pPr>
        <w:pStyle w:val="ListParagraph"/>
        <w:numPr>
          <w:ilvl w:val="1"/>
          <w:numId w:val="15"/>
        </w:numPr>
        <w:jc w:val="both"/>
      </w:pPr>
      <w:r>
        <w:t>The UE, upon the reception of the RRC reconfiguration for the LTM preparation, decode</w:t>
      </w:r>
      <w:r w:rsidR="00A0456F">
        <w:t>s</w:t>
      </w:r>
      <w:r>
        <w:t xml:space="preserve"> the RRC Reconfiguration message (which contains the target cell</w:t>
      </w:r>
      <w:r w:rsidR="00A0456F">
        <w:t xml:space="preserve"> configuration</w:t>
      </w:r>
      <w:r>
        <w:t>s), and can perform early validity check for these configurations</w:t>
      </w:r>
      <w:r w:rsidR="00EF5544">
        <w:t xml:space="preserve"> (Figure </w:t>
      </w:r>
      <w:r w:rsidR="00687866">
        <w:t>3a</w:t>
      </w:r>
      <w:r w:rsidR="00EF5544">
        <w:t>).</w:t>
      </w:r>
      <w:r>
        <w:t xml:space="preserve"> </w:t>
      </w:r>
    </w:p>
    <w:p w14:paraId="59C34A1D" w14:textId="77777777" w:rsidR="004A7984" w:rsidRDefault="004A7984" w:rsidP="004A7984">
      <w:pPr>
        <w:pStyle w:val="ListParagraph"/>
        <w:numPr>
          <w:ilvl w:val="2"/>
          <w:numId w:val="15"/>
        </w:numPr>
        <w:jc w:val="both"/>
      </w:pPr>
      <w:r>
        <w:t xml:space="preserve">Pros: </w:t>
      </w:r>
    </w:p>
    <w:p w14:paraId="33FF1187" w14:textId="0A83CB95" w:rsidR="004A7984" w:rsidRDefault="004A7984" w:rsidP="004A7984">
      <w:pPr>
        <w:pStyle w:val="ListParagraph"/>
        <w:numPr>
          <w:ilvl w:val="3"/>
          <w:numId w:val="15"/>
        </w:numPr>
        <w:jc w:val="both"/>
      </w:pPr>
      <w:r>
        <w:t>Early validity check can be performed for the target cell configurations in time and this can enable the UE and the network to react, e.g., the UE can inform the network about the invalid configuration.</w:t>
      </w:r>
    </w:p>
    <w:p w14:paraId="5B503D76" w14:textId="77777777" w:rsidR="004A7984" w:rsidRDefault="004A7984" w:rsidP="004A7984">
      <w:pPr>
        <w:pStyle w:val="ListParagraph"/>
        <w:numPr>
          <w:ilvl w:val="2"/>
          <w:numId w:val="15"/>
        </w:numPr>
        <w:jc w:val="both"/>
      </w:pPr>
      <w:r>
        <w:t xml:space="preserve">Cons: </w:t>
      </w:r>
    </w:p>
    <w:p w14:paraId="4FE555EB" w14:textId="51A12DF6" w:rsidR="004A7984" w:rsidRDefault="004A7984" w:rsidP="004A7984">
      <w:pPr>
        <w:pStyle w:val="ListParagraph"/>
        <w:numPr>
          <w:ilvl w:val="3"/>
          <w:numId w:val="15"/>
        </w:numPr>
        <w:jc w:val="both"/>
      </w:pPr>
      <w:r>
        <w:lastRenderedPageBreak/>
        <w:t>The validity check will be in the complete configuration</w:t>
      </w:r>
      <w:r w:rsidR="00AB5169">
        <w:t xml:space="preserve"> only in case of complete target cell configuration</w:t>
      </w:r>
      <w:r>
        <w:t xml:space="preserve"> thus risking the full configuration being invalid at the time of execution. In such case the UE/network cannot react to remedy this invalidity</w:t>
      </w:r>
    </w:p>
    <w:p w14:paraId="15D2586B" w14:textId="65D2F014" w:rsidR="004A7984" w:rsidRDefault="004A7984" w:rsidP="004A7984">
      <w:pPr>
        <w:pStyle w:val="ListParagraph"/>
        <w:numPr>
          <w:ilvl w:val="3"/>
          <w:numId w:val="15"/>
        </w:numPr>
        <w:jc w:val="both"/>
      </w:pPr>
      <w:r>
        <w:t>Processing heavy since all the target cell configurations need to be decoded and evaluated for validity, even partly</w:t>
      </w:r>
    </w:p>
    <w:p w14:paraId="653C4636" w14:textId="0ACEE39E" w:rsidR="00FB62ED" w:rsidRDefault="00FB62ED">
      <w:pPr>
        <w:pStyle w:val="ListParagraph"/>
        <w:numPr>
          <w:ilvl w:val="1"/>
          <w:numId w:val="15"/>
        </w:numPr>
        <w:jc w:val="both"/>
      </w:pPr>
      <w:r>
        <w:t>The UE can wait for the reception of the cell change</w:t>
      </w:r>
      <w:r w:rsidR="003A701A">
        <w:t xml:space="preserve"> command</w:t>
      </w:r>
      <w:r>
        <w:t xml:space="preserve"> and apply the target cell delta configuration on the current serving cell configuration and perform </w:t>
      </w:r>
      <w:r w:rsidRPr="00FB62ED">
        <w:t>validity check</w:t>
      </w:r>
      <w:r>
        <w:t xml:space="preserve"> to the target cell configuration</w:t>
      </w:r>
      <w:r w:rsidR="00687866">
        <w:t xml:space="preserve"> at the time of execution</w:t>
      </w:r>
      <w:r w:rsidR="00EF5544">
        <w:t xml:space="preserve"> (Figure </w:t>
      </w:r>
      <w:r w:rsidR="00687866">
        <w:t>3b</w:t>
      </w:r>
      <w:r w:rsidR="00EF5544">
        <w:t>)</w:t>
      </w:r>
      <w:r>
        <w:t>.</w:t>
      </w:r>
    </w:p>
    <w:p w14:paraId="475FFCBE" w14:textId="77777777" w:rsidR="004A7984" w:rsidRDefault="004A7984" w:rsidP="004A7984">
      <w:pPr>
        <w:pStyle w:val="ListParagraph"/>
        <w:numPr>
          <w:ilvl w:val="2"/>
          <w:numId w:val="15"/>
        </w:numPr>
        <w:jc w:val="both"/>
      </w:pPr>
      <w:r>
        <w:t xml:space="preserve">Pros: </w:t>
      </w:r>
    </w:p>
    <w:p w14:paraId="486FE754" w14:textId="6D0423E1" w:rsidR="004A7984" w:rsidRDefault="004A7984" w:rsidP="004A7984">
      <w:pPr>
        <w:pStyle w:val="ListParagraph"/>
        <w:numPr>
          <w:ilvl w:val="3"/>
          <w:numId w:val="15"/>
        </w:numPr>
        <w:jc w:val="both"/>
      </w:pPr>
      <w:r>
        <w:t>Does not require early processing and the processing is performed only for the relevant target cell at the time of the execution.</w:t>
      </w:r>
    </w:p>
    <w:p w14:paraId="080A6759" w14:textId="77777777" w:rsidR="004A7984" w:rsidRDefault="004A7984" w:rsidP="004A7984">
      <w:pPr>
        <w:pStyle w:val="ListParagraph"/>
        <w:numPr>
          <w:ilvl w:val="2"/>
          <w:numId w:val="15"/>
        </w:numPr>
        <w:jc w:val="both"/>
      </w:pPr>
      <w:r>
        <w:t xml:space="preserve">Cons: </w:t>
      </w:r>
    </w:p>
    <w:p w14:paraId="4117C150" w14:textId="567F85F8" w:rsidR="004A7984" w:rsidRDefault="004A7984" w:rsidP="004A7984">
      <w:pPr>
        <w:pStyle w:val="ListParagraph"/>
        <w:numPr>
          <w:ilvl w:val="3"/>
          <w:numId w:val="15"/>
        </w:numPr>
        <w:jc w:val="both"/>
      </w:pPr>
      <w:r>
        <w:t>The UE does not perform early validity check thus risking the target cell configuration being invalid at the time of execution. In such case the UE/network cannot react to remedy this invalidity.</w:t>
      </w:r>
    </w:p>
    <w:p w14:paraId="2A495B32" w14:textId="77777777" w:rsidR="00260D94" w:rsidRDefault="00260D94" w:rsidP="00097EA7">
      <w:pPr>
        <w:pStyle w:val="Caption"/>
        <w:jc w:val="center"/>
      </w:pPr>
    </w:p>
    <w:tbl>
      <w:tblPr>
        <w:tblStyle w:val="TableGrid"/>
        <w:tblW w:w="10343" w:type="dxa"/>
        <w:tblLook w:val="04A0" w:firstRow="1" w:lastRow="0" w:firstColumn="1" w:lastColumn="0" w:noHBand="0" w:noVBand="1"/>
      </w:tblPr>
      <w:tblGrid>
        <w:gridCol w:w="10343"/>
      </w:tblGrid>
      <w:tr w:rsidR="00260D94" w14:paraId="118E47A4" w14:textId="77777777" w:rsidTr="004B5FFC">
        <w:tc>
          <w:tcPr>
            <w:tcW w:w="10343" w:type="dxa"/>
          </w:tcPr>
          <w:p w14:paraId="1397CB3C" w14:textId="118D5724" w:rsidR="00260D94" w:rsidRDefault="005F45D7" w:rsidP="004B5FFC">
            <w:pPr>
              <w:spacing w:after="0"/>
              <w:jc w:val="center"/>
              <w:rPr>
                <w:noProof/>
              </w:rPr>
            </w:pPr>
            <w:r>
              <w:rPr>
                <w:noProof/>
              </w:rPr>
              <w:drawing>
                <wp:inline distT="0" distB="0" distL="0" distR="0" wp14:anchorId="02675A05" wp14:editId="26D7BC9B">
                  <wp:extent cx="5291493" cy="3420000"/>
                  <wp:effectExtent l="0" t="0" r="444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1493" cy="3420000"/>
                          </a:xfrm>
                          <a:prstGeom prst="rect">
                            <a:avLst/>
                          </a:prstGeom>
                          <a:noFill/>
                        </pic:spPr>
                      </pic:pic>
                    </a:graphicData>
                  </a:graphic>
                </wp:inline>
              </w:drawing>
            </w:r>
          </w:p>
          <w:p w14:paraId="415C6B54" w14:textId="1806967C" w:rsidR="00260D94" w:rsidRDefault="00260D94" w:rsidP="004B5FFC">
            <w:pPr>
              <w:spacing w:after="0"/>
              <w:jc w:val="center"/>
              <w:rPr>
                <w:noProof/>
              </w:rPr>
            </w:pPr>
            <w:r>
              <w:rPr>
                <w:noProof/>
              </w:rPr>
              <w:t>(</w:t>
            </w:r>
            <w:r w:rsidR="009D6CA9">
              <w:rPr>
                <w:noProof/>
              </w:rPr>
              <w:t>a</w:t>
            </w:r>
            <w:r>
              <w:rPr>
                <w:noProof/>
              </w:rPr>
              <w:t>)</w:t>
            </w:r>
          </w:p>
        </w:tc>
      </w:tr>
      <w:tr w:rsidR="00260D94" w14:paraId="34409B7E" w14:textId="77777777" w:rsidTr="004B5FFC">
        <w:tc>
          <w:tcPr>
            <w:tcW w:w="10343" w:type="dxa"/>
          </w:tcPr>
          <w:p w14:paraId="1A5F150E" w14:textId="21B87E1E" w:rsidR="00260D94" w:rsidRDefault="005F45D7" w:rsidP="004B5FFC">
            <w:pPr>
              <w:spacing w:after="0"/>
              <w:jc w:val="center"/>
              <w:rPr>
                <w:noProof/>
              </w:rPr>
            </w:pPr>
            <w:r>
              <w:rPr>
                <w:noProof/>
              </w:rPr>
              <w:lastRenderedPageBreak/>
              <w:drawing>
                <wp:inline distT="0" distB="0" distL="0" distR="0" wp14:anchorId="10E79C39" wp14:editId="6DF24760">
                  <wp:extent cx="5291493" cy="3420000"/>
                  <wp:effectExtent l="0" t="0" r="444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1493" cy="3420000"/>
                          </a:xfrm>
                          <a:prstGeom prst="rect">
                            <a:avLst/>
                          </a:prstGeom>
                          <a:noFill/>
                        </pic:spPr>
                      </pic:pic>
                    </a:graphicData>
                  </a:graphic>
                </wp:inline>
              </w:drawing>
            </w:r>
          </w:p>
          <w:p w14:paraId="4CB76F96" w14:textId="4FC7C10D" w:rsidR="00260D94" w:rsidRDefault="00260D94" w:rsidP="004B5FFC">
            <w:pPr>
              <w:spacing w:after="0"/>
              <w:jc w:val="center"/>
            </w:pPr>
            <w:r>
              <w:rPr>
                <w:noProof/>
              </w:rPr>
              <w:t>(</w:t>
            </w:r>
            <w:r w:rsidR="009D6CA9">
              <w:rPr>
                <w:noProof/>
              </w:rPr>
              <w:t>b</w:t>
            </w:r>
            <w:r>
              <w:rPr>
                <w:noProof/>
              </w:rPr>
              <w:t>)</w:t>
            </w:r>
          </w:p>
        </w:tc>
      </w:tr>
    </w:tbl>
    <w:p w14:paraId="754357DA" w14:textId="632FE228" w:rsidR="00523397" w:rsidRDefault="00097EA7" w:rsidP="00260D94">
      <w:pPr>
        <w:pStyle w:val="Caption"/>
        <w:jc w:val="center"/>
      </w:pPr>
      <w:r>
        <w:t xml:space="preserve">Figure </w:t>
      </w:r>
      <w:r>
        <w:fldChar w:fldCharType="begin"/>
      </w:r>
      <w:r>
        <w:instrText>SEQ Figure \* ARABIC</w:instrText>
      </w:r>
      <w:r>
        <w:fldChar w:fldCharType="separate"/>
      </w:r>
      <w:r w:rsidR="000822FB">
        <w:rPr>
          <w:noProof/>
        </w:rPr>
        <w:t>3</w:t>
      </w:r>
      <w:r>
        <w:fldChar w:fldCharType="end"/>
      </w:r>
      <w:r>
        <w:t>: Validity check of target cell configurations</w:t>
      </w:r>
      <w:r w:rsidR="00260D94">
        <w:t xml:space="preserve"> with empty or </w:t>
      </w:r>
      <w:r w:rsidR="009D6CA9">
        <w:t>absent</w:t>
      </w:r>
      <w:r w:rsidR="00260D94">
        <w:t xml:space="preserve"> </w:t>
      </w:r>
      <w:r w:rsidR="00260D94" w:rsidRPr="00260D94">
        <w:t xml:space="preserve">Reference </w:t>
      </w:r>
      <w:r w:rsidR="009D6CA9">
        <w:t>c</w:t>
      </w:r>
      <w:r w:rsidR="00260D94" w:rsidRPr="00260D94">
        <w:t xml:space="preserve">onfiguration </w:t>
      </w:r>
    </w:p>
    <w:p w14:paraId="0C713E70" w14:textId="3F04130A" w:rsidR="00186DA7" w:rsidRPr="00FB62ED" w:rsidRDefault="00186DA7" w:rsidP="00FB62ED">
      <w:pPr>
        <w:jc w:val="both"/>
      </w:pPr>
      <w:r w:rsidRPr="00041F10">
        <w:rPr>
          <w:b/>
          <w:bCs/>
        </w:rPr>
        <w:t xml:space="preserve">Observation </w:t>
      </w:r>
      <w:r w:rsidR="0008147F">
        <w:rPr>
          <w:b/>
          <w:bCs/>
        </w:rPr>
        <w:t>3</w:t>
      </w:r>
      <w:r>
        <w:t xml:space="preserve">: </w:t>
      </w:r>
      <w:r w:rsidR="00041F10">
        <w:t xml:space="preserve">Early validity check </w:t>
      </w:r>
      <w:r w:rsidR="00DF7F90">
        <w:t xml:space="preserve">in a complete target cell configuration is possible in case of non-empty reference configuration and delta target cell configurations. </w:t>
      </w:r>
    </w:p>
    <w:p w14:paraId="0047A55B" w14:textId="1A5B3FCD" w:rsidR="00161F7E" w:rsidRDefault="00DF7F90" w:rsidP="002F6666">
      <w:pPr>
        <w:jc w:val="both"/>
      </w:pPr>
      <w:r w:rsidRPr="00041F10">
        <w:rPr>
          <w:b/>
          <w:bCs/>
        </w:rPr>
        <w:t xml:space="preserve">Observation </w:t>
      </w:r>
      <w:r w:rsidR="0008147F">
        <w:rPr>
          <w:b/>
          <w:bCs/>
        </w:rPr>
        <w:t>4</w:t>
      </w:r>
      <w:r>
        <w:t>: Early validity check in a complete target cell configuration is possible in case of empty reference configuration and complete target cell configuration.</w:t>
      </w:r>
    </w:p>
    <w:p w14:paraId="7BE1E013" w14:textId="683C0711" w:rsidR="00DF7F90" w:rsidRDefault="00DF7F90" w:rsidP="002F6666">
      <w:pPr>
        <w:jc w:val="both"/>
      </w:pPr>
      <w:r>
        <w:t>As mentioned above, in case the early validity check is possible</w:t>
      </w:r>
      <w:r w:rsidR="003E17CC">
        <w:t>,</w:t>
      </w:r>
      <w:r>
        <w:t xml:space="preserve"> and the UE identifies an inconsistency it can inform the network so as to perform an update in the provided configuration. This will prevent a possible failure at the time of the cell change which may result in handover failure.</w:t>
      </w:r>
    </w:p>
    <w:p w14:paraId="482F71C1" w14:textId="50A22EB9" w:rsidR="00DF7F90" w:rsidRPr="003E17CC" w:rsidRDefault="00DF7F90" w:rsidP="002F6666">
      <w:pPr>
        <w:jc w:val="both"/>
        <w:rPr>
          <w:b/>
          <w:bCs/>
        </w:rPr>
      </w:pPr>
      <w:r w:rsidRPr="00DF7F90">
        <w:rPr>
          <w:b/>
          <w:bCs/>
        </w:rPr>
        <w:t xml:space="preserve">Proposal </w:t>
      </w:r>
      <w:r w:rsidR="0008147F">
        <w:rPr>
          <w:b/>
          <w:bCs/>
        </w:rPr>
        <w:t>6</w:t>
      </w:r>
      <w:r w:rsidRPr="00DF7F90">
        <w:rPr>
          <w:b/>
          <w:bCs/>
        </w:rPr>
        <w:t>:</w:t>
      </w:r>
      <w:r w:rsidRPr="00DF7F90">
        <w:t xml:space="preserve"> </w:t>
      </w:r>
      <w:r>
        <w:t xml:space="preserve">The UE performs early validity check in all possible cases described above and informs the network about inconsistencies. The exact signalling, as well as the </w:t>
      </w:r>
      <w:r w:rsidR="00AA5E37">
        <w:t>network re</w:t>
      </w:r>
      <w:r w:rsidR="003E17CC">
        <w:t>sponse</w:t>
      </w:r>
      <w:r w:rsidR="00AA5E37">
        <w:t xml:space="preserve"> is FFS.</w:t>
      </w:r>
    </w:p>
    <w:p w14:paraId="69B7B8E6" w14:textId="69E07FC9" w:rsidR="009339CB" w:rsidRPr="006E13D1" w:rsidRDefault="005A13AB" w:rsidP="009339CB">
      <w:pPr>
        <w:pStyle w:val="Heading1"/>
      </w:pPr>
      <w:r>
        <w:t>3</w:t>
      </w:r>
      <w:r w:rsidR="009339CB" w:rsidRPr="006E13D1">
        <w:tab/>
      </w:r>
      <w:r w:rsidR="009339CB">
        <w:t>Conclusion</w:t>
      </w:r>
    </w:p>
    <w:p w14:paraId="6E24B0F4" w14:textId="7CE0C7DC" w:rsidR="009339CB" w:rsidRPr="00AD7278" w:rsidRDefault="009339CB" w:rsidP="009339CB">
      <w:r w:rsidRPr="00AD7278">
        <w:t>This document has made the following observations:</w:t>
      </w:r>
    </w:p>
    <w:p w14:paraId="3C6FCBB8" w14:textId="77777777" w:rsidR="00E509D5" w:rsidRDefault="00E509D5" w:rsidP="00E509D5">
      <w:pPr>
        <w:jc w:val="both"/>
      </w:pPr>
      <w:r>
        <w:rPr>
          <w:b/>
          <w:bCs/>
        </w:rPr>
        <w:t>Observation 1</w:t>
      </w:r>
      <w:r w:rsidRPr="00161F7E">
        <w:rPr>
          <w:b/>
          <w:bCs/>
        </w:rPr>
        <w:t xml:space="preserve">: </w:t>
      </w:r>
      <w:r>
        <w:t xml:space="preserve">Ensuring disjoint-ness between Reference configuration and target cell delta configuration is not always possible. </w:t>
      </w:r>
    </w:p>
    <w:p w14:paraId="5D085C57" w14:textId="77777777" w:rsidR="00E509D5" w:rsidRDefault="00E509D5" w:rsidP="00E509D5">
      <w:pPr>
        <w:jc w:val="both"/>
      </w:pPr>
      <w:r w:rsidRPr="00445E23">
        <w:rPr>
          <w:b/>
          <w:bCs/>
        </w:rPr>
        <w:t xml:space="preserve">Observation </w:t>
      </w:r>
      <w:r>
        <w:rPr>
          <w:b/>
          <w:bCs/>
        </w:rPr>
        <w:t>2</w:t>
      </w:r>
      <w:r w:rsidRPr="00445E23">
        <w:rPr>
          <w:b/>
          <w:bCs/>
        </w:rPr>
        <w:t xml:space="preserve">: </w:t>
      </w:r>
      <w:r>
        <w:t xml:space="preserve">In order to ensure smooth operation in case of subsequent cell changes, when </w:t>
      </w:r>
      <w:r w:rsidRPr="00445E23">
        <w:t>Reference Configuration is not provided or is empty</w:t>
      </w:r>
      <w:r>
        <w:t xml:space="preserve">, without RRC Reconfiguration (i.e., Dynamic Switch), the target cell configurations need to be either complete configurations, or to contain the same IE (in case of delta configurations). </w:t>
      </w:r>
    </w:p>
    <w:p w14:paraId="34AF778B" w14:textId="77777777" w:rsidR="00E509D5" w:rsidRPr="00FB62ED" w:rsidRDefault="00E509D5" w:rsidP="00E509D5">
      <w:pPr>
        <w:jc w:val="both"/>
      </w:pPr>
      <w:r w:rsidRPr="00041F10">
        <w:rPr>
          <w:b/>
          <w:bCs/>
        </w:rPr>
        <w:t xml:space="preserve">Observation </w:t>
      </w:r>
      <w:r>
        <w:rPr>
          <w:b/>
          <w:bCs/>
        </w:rPr>
        <w:t>3</w:t>
      </w:r>
      <w:r>
        <w:t xml:space="preserve">: Early validity check in a complete target cell configuration is possible in case of non-empty reference configuration and delta target cell configurations. </w:t>
      </w:r>
    </w:p>
    <w:p w14:paraId="4A89E032" w14:textId="77777777" w:rsidR="00E509D5" w:rsidRDefault="00E509D5" w:rsidP="00E509D5">
      <w:pPr>
        <w:jc w:val="both"/>
      </w:pPr>
      <w:r w:rsidRPr="00041F10">
        <w:rPr>
          <w:b/>
          <w:bCs/>
        </w:rPr>
        <w:t xml:space="preserve">Observation </w:t>
      </w:r>
      <w:r>
        <w:rPr>
          <w:b/>
          <w:bCs/>
        </w:rPr>
        <w:t>4</w:t>
      </w:r>
      <w:r>
        <w:t>: Early validity check in a complete target cell configuration is possible in case of empty reference configuration and complete target cell configuration.</w:t>
      </w:r>
    </w:p>
    <w:p w14:paraId="6A99A669" w14:textId="77777777" w:rsidR="009339CB" w:rsidRPr="00AD7278" w:rsidRDefault="009339CB" w:rsidP="009339CB">
      <w:r w:rsidRPr="00AD7278">
        <w:t>And proposed the following:</w:t>
      </w:r>
    </w:p>
    <w:p w14:paraId="41035A7A" w14:textId="77777777" w:rsidR="00AD7278" w:rsidRPr="00AD7278" w:rsidRDefault="00AD7278" w:rsidP="00AD7278">
      <w:pPr>
        <w:jc w:val="both"/>
      </w:pPr>
      <w:r w:rsidRPr="00AD7278">
        <w:rPr>
          <w:b/>
          <w:bCs/>
        </w:rPr>
        <w:t>Proposal 1</w:t>
      </w:r>
      <w:r w:rsidRPr="00AD7278">
        <w:t>: Discuss on the above terminology and agree on a clear definition of terms to use in RAN2.</w:t>
      </w:r>
    </w:p>
    <w:p w14:paraId="0457C39E" w14:textId="05142558" w:rsidR="00AD7278" w:rsidRPr="00AD7278" w:rsidRDefault="00AD7278" w:rsidP="00AD7278">
      <w:pPr>
        <w:jc w:val="both"/>
      </w:pPr>
      <w:r w:rsidRPr="00AD7278">
        <w:rPr>
          <w:b/>
          <w:bCs/>
        </w:rPr>
        <w:t>Proposal 2:</w:t>
      </w:r>
      <w:r w:rsidRPr="00AD7278">
        <w:t xml:space="preserve"> Whether the Reference configuration is a complete configuration or not is up to the network implementation. FFS if special notification is needed to be provided to the UE indicating a non-empty/empty Reference configuration.</w:t>
      </w:r>
    </w:p>
    <w:p w14:paraId="35F8297D" w14:textId="77777777" w:rsidR="00AD7278" w:rsidRPr="00AD7278" w:rsidRDefault="00AD7278" w:rsidP="00AD7278">
      <w:pPr>
        <w:jc w:val="both"/>
        <w:rPr>
          <w:b/>
          <w:bCs/>
        </w:rPr>
      </w:pPr>
      <w:r w:rsidRPr="00AD7278">
        <w:rPr>
          <w:b/>
          <w:bCs/>
        </w:rPr>
        <w:lastRenderedPageBreak/>
        <w:t xml:space="preserve">Proposal 3: </w:t>
      </w:r>
      <w:r w:rsidRPr="00AD7278">
        <w:t>In case the Reference configuration is that of the serving cell configuration (which is a complete configuration) at the time of the LTM configuration this needs to be indicated to the UE in the RRC.</w:t>
      </w:r>
    </w:p>
    <w:p w14:paraId="64112C0B" w14:textId="77777777" w:rsidR="00AD7278" w:rsidRPr="00AD7278" w:rsidRDefault="00AD7278" w:rsidP="00AD7278">
      <w:pPr>
        <w:jc w:val="both"/>
      </w:pPr>
      <w:r w:rsidRPr="00AD7278">
        <w:rPr>
          <w:b/>
          <w:bCs/>
        </w:rPr>
        <w:t xml:space="preserve">Proposal 3: </w:t>
      </w:r>
      <w:r w:rsidRPr="00AD7278">
        <w:t>Disjoint-ness between Reference configuration and target cell delta configuration is not mandatory.</w:t>
      </w:r>
    </w:p>
    <w:p w14:paraId="536C20B3" w14:textId="77777777" w:rsidR="00E509D5" w:rsidRPr="003A211A" w:rsidRDefault="00E509D5" w:rsidP="00E509D5">
      <w:pPr>
        <w:jc w:val="both"/>
      </w:pPr>
      <w:r w:rsidRPr="003A211A">
        <w:rPr>
          <w:b/>
          <w:bCs/>
        </w:rPr>
        <w:t>Proposal 4:</w:t>
      </w:r>
      <w:r w:rsidRPr="003A211A">
        <w:t xml:space="preserve"> RAN2 to agree that </w:t>
      </w:r>
      <w:r>
        <w:t>R</w:t>
      </w:r>
      <w:r w:rsidRPr="003A211A">
        <w:t>eference configuration is mandatory</w:t>
      </w:r>
      <w:r>
        <w:t xml:space="preserve"> in case of dynamic switching in LTM</w:t>
      </w:r>
      <w:r w:rsidRPr="003A211A">
        <w:t xml:space="preserve">. </w:t>
      </w:r>
    </w:p>
    <w:p w14:paraId="75408B64" w14:textId="77777777" w:rsidR="00AD7278" w:rsidRPr="00AD7278" w:rsidRDefault="00AD7278" w:rsidP="00AD7278">
      <w:pPr>
        <w:jc w:val="both"/>
      </w:pPr>
      <w:r w:rsidRPr="00AD7278">
        <w:rPr>
          <w:b/>
          <w:bCs/>
        </w:rPr>
        <w:t>Proposal 5:</w:t>
      </w:r>
      <w:r w:rsidRPr="00AD7278">
        <w:t xml:space="preserve"> RAN2 to agree that if reference configuration is not provided to the UE, the target cells configurations are complete configurations.</w:t>
      </w:r>
    </w:p>
    <w:p w14:paraId="56EEE39D" w14:textId="1C09330D" w:rsidR="009339CB" w:rsidRDefault="00AD7278" w:rsidP="003E17CC">
      <w:pPr>
        <w:jc w:val="both"/>
      </w:pPr>
      <w:r w:rsidRPr="00AD7278">
        <w:rPr>
          <w:b/>
          <w:bCs/>
        </w:rPr>
        <w:t xml:space="preserve">Proposal </w:t>
      </w:r>
      <w:r>
        <w:rPr>
          <w:b/>
          <w:bCs/>
        </w:rPr>
        <w:t>6</w:t>
      </w:r>
      <w:r w:rsidRPr="00AD7278">
        <w:rPr>
          <w:b/>
          <w:bCs/>
        </w:rPr>
        <w:t>:</w:t>
      </w:r>
      <w:r w:rsidRPr="00AD7278">
        <w:t xml:space="preserve"> The UE performs early validity check in all possible cases described above and informs the network about inconsistencies. The exact signalling, as well as the network re</w:t>
      </w:r>
      <w:r w:rsidR="003E17CC">
        <w:t>sponse</w:t>
      </w:r>
      <w:r w:rsidRPr="00AD7278">
        <w:t xml:space="preserve"> is FFS.</w:t>
      </w:r>
    </w:p>
    <w:p w14:paraId="1E34B840" w14:textId="460B7AC1" w:rsidR="00AD7278" w:rsidRPr="006E13D1" w:rsidRDefault="00AD7278" w:rsidP="00AD7278">
      <w:pPr>
        <w:pStyle w:val="Heading1"/>
      </w:pPr>
      <w:r>
        <w:t>4</w:t>
      </w:r>
      <w:r w:rsidRPr="006E13D1">
        <w:tab/>
      </w:r>
      <w:r>
        <w:t>References</w:t>
      </w:r>
    </w:p>
    <w:p w14:paraId="35F222F4" w14:textId="71E20709" w:rsidR="00080512" w:rsidRPr="00A209D6" w:rsidRDefault="00AD7278" w:rsidP="009339CB">
      <w:r>
        <w:t>[1]</w:t>
      </w:r>
      <w:r w:rsidRPr="00AD7278">
        <w:t xml:space="preserve"> </w:t>
      </w:r>
      <w:r>
        <w:tab/>
      </w:r>
      <w:r w:rsidR="006B598E">
        <w:tab/>
      </w:r>
      <w:r w:rsidRPr="0031529B">
        <w:t>R2_12</w:t>
      </w:r>
      <w:r>
        <w:t>1</w:t>
      </w:r>
      <w:r w:rsidRPr="0031529B">
        <w:t xml:space="preserve"> Chair Notes 202</w:t>
      </w:r>
      <w:r>
        <w:t>3</w:t>
      </w:r>
      <w:r w:rsidRPr="0031529B">
        <w:t>-</w:t>
      </w:r>
      <w:r>
        <w:t>03</w:t>
      </w:r>
      <w:r w:rsidRPr="0031529B">
        <w:t>-</w:t>
      </w:r>
      <w:r>
        <w:t>03</w:t>
      </w:r>
      <w:r w:rsidRPr="0031529B">
        <w:t xml:space="preserve"> </w:t>
      </w:r>
      <w:r>
        <w:t>EOM</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E0A3" w14:textId="77777777" w:rsidR="00BC19E0" w:rsidRDefault="00BC19E0">
      <w:r>
        <w:separator/>
      </w:r>
    </w:p>
  </w:endnote>
  <w:endnote w:type="continuationSeparator" w:id="0">
    <w:p w14:paraId="0F66EBBF" w14:textId="77777777" w:rsidR="00BC19E0" w:rsidRDefault="00BC19E0">
      <w:r>
        <w:continuationSeparator/>
      </w:r>
    </w:p>
  </w:endnote>
  <w:endnote w:type="continuationNotice" w:id="1">
    <w:p w14:paraId="051A2C68" w14:textId="77777777" w:rsidR="00BC19E0" w:rsidRDefault="00BC1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B4A3" w14:textId="77777777" w:rsidR="00BC19E0" w:rsidRDefault="00BC19E0">
      <w:r>
        <w:separator/>
      </w:r>
    </w:p>
  </w:footnote>
  <w:footnote w:type="continuationSeparator" w:id="0">
    <w:p w14:paraId="5687F628" w14:textId="77777777" w:rsidR="00BC19E0" w:rsidRDefault="00BC19E0">
      <w:r>
        <w:continuationSeparator/>
      </w:r>
    </w:p>
  </w:footnote>
  <w:footnote w:type="continuationNotice" w:id="1">
    <w:p w14:paraId="191C83C8" w14:textId="77777777" w:rsidR="00BC19E0" w:rsidRDefault="00BC1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410342"/>
    <w:multiLevelType w:val="hybridMultilevel"/>
    <w:tmpl w:val="07A6E6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542142D"/>
    <w:multiLevelType w:val="hybridMultilevel"/>
    <w:tmpl w:val="8E44361E"/>
    <w:lvl w:ilvl="0" w:tplc="0407000F">
      <w:start w:val="1"/>
      <w:numFmt w:val="decimal"/>
      <w:lvlText w:val="%1."/>
      <w:lvlJc w:val="left"/>
      <w:pPr>
        <w:ind w:left="720" w:hanging="360"/>
      </w:pPr>
      <w:rPr>
        <w:rFonts w:hint="default"/>
      </w:rPr>
    </w:lvl>
    <w:lvl w:ilvl="1" w:tplc="04070017">
      <w:start w:val="1"/>
      <w:numFmt w:val="lowerLetter"/>
      <w:lvlText w:val="%2)"/>
      <w:lvlJc w:val="left"/>
      <w:pPr>
        <w:ind w:left="1440" w:hanging="360"/>
      </w:pPr>
      <w:rPr>
        <w:rFonts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0783988"/>
    <w:multiLevelType w:val="hybridMultilevel"/>
    <w:tmpl w:val="758C0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17A0B"/>
    <w:multiLevelType w:val="hybridMultilevel"/>
    <w:tmpl w:val="6D2CC15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63144A4"/>
    <w:multiLevelType w:val="hybridMultilevel"/>
    <w:tmpl w:val="327C41DA"/>
    <w:lvl w:ilvl="0" w:tplc="04070011">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A2F6115"/>
    <w:multiLevelType w:val="hybridMultilevel"/>
    <w:tmpl w:val="07A6E6C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63393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339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699619">
    <w:abstractNumId w:val="1"/>
  </w:num>
  <w:num w:numId="4" w16cid:durableId="1573540256">
    <w:abstractNumId w:val="3"/>
  </w:num>
  <w:num w:numId="5" w16cid:durableId="1990474382">
    <w:abstractNumId w:val="2"/>
  </w:num>
  <w:num w:numId="6" w16cid:durableId="518665946">
    <w:abstractNumId w:val="5"/>
  </w:num>
  <w:num w:numId="7" w16cid:durableId="649212504">
    <w:abstractNumId w:val="6"/>
  </w:num>
  <w:num w:numId="8" w16cid:durableId="1843426664">
    <w:abstractNumId w:val="12"/>
  </w:num>
  <w:num w:numId="9" w16cid:durableId="319625595">
    <w:abstractNumId w:val="12"/>
  </w:num>
  <w:num w:numId="10" w16cid:durableId="1844010522">
    <w:abstractNumId w:val="12"/>
  </w:num>
  <w:num w:numId="11" w16cid:durableId="1532840424">
    <w:abstractNumId w:val="9"/>
  </w:num>
  <w:num w:numId="12" w16cid:durableId="981083285">
    <w:abstractNumId w:val="11"/>
  </w:num>
  <w:num w:numId="13" w16cid:durableId="569121776">
    <w:abstractNumId w:val="10"/>
  </w:num>
  <w:num w:numId="14" w16cid:durableId="469131481">
    <w:abstractNumId w:val="4"/>
  </w:num>
  <w:num w:numId="15" w16cid:durableId="419523542">
    <w:abstractNumId w:val="7"/>
  </w:num>
  <w:num w:numId="16" w16cid:durableId="2140475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01190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23805918">
    <w:abstractNumId w:val="8"/>
  </w:num>
  <w:num w:numId="19" w16cid:durableId="3028542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37433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669411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8772062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CB4"/>
    <w:rsid w:val="00016557"/>
    <w:rsid w:val="00023C40"/>
    <w:rsid w:val="00032D92"/>
    <w:rsid w:val="00033397"/>
    <w:rsid w:val="000363EB"/>
    <w:rsid w:val="00040095"/>
    <w:rsid w:val="00041F10"/>
    <w:rsid w:val="000440AC"/>
    <w:rsid w:val="00046110"/>
    <w:rsid w:val="00055D19"/>
    <w:rsid w:val="00065268"/>
    <w:rsid w:val="00065F9A"/>
    <w:rsid w:val="00073C9C"/>
    <w:rsid w:val="00076412"/>
    <w:rsid w:val="00080512"/>
    <w:rsid w:val="0008147F"/>
    <w:rsid w:val="000822FB"/>
    <w:rsid w:val="00090468"/>
    <w:rsid w:val="00092233"/>
    <w:rsid w:val="00094568"/>
    <w:rsid w:val="00097EA7"/>
    <w:rsid w:val="000A454A"/>
    <w:rsid w:val="000B7BCF"/>
    <w:rsid w:val="000C522B"/>
    <w:rsid w:val="000C66B5"/>
    <w:rsid w:val="000C767A"/>
    <w:rsid w:val="000D42EB"/>
    <w:rsid w:val="000D58AB"/>
    <w:rsid w:val="00107BA6"/>
    <w:rsid w:val="0011079C"/>
    <w:rsid w:val="00112F1A"/>
    <w:rsid w:val="00135A39"/>
    <w:rsid w:val="00145075"/>
    <w:rsid w:val="00154143"/>
    <w:rsid w:val="00161F7E"/>
    <w:rsid w:val="001638C6"/>
    <w:rsid w:val="001741A0"/>
    <w:rsid w:val="00175FA0"/>
    <w:rsid w:val="00186DA7"/>
    <w:rsid w:val="00190088"/>
    <w:rsid w:val="00190643"/>
    <w:rsid w:val="00192313"/>
    <w:rsid w:val="00194CD0"/>
    <w:rsid w:val="001B49C9"/>
    <w:rsid w:val="001C23F4"/>
    <w:rsid w:val="001C2C74"/>
    <w:rsid w:val="001C4F79"/>
    <w:rsid w:val="001E1F27"/>
    <w:rsid w:val="001E5523"/>
    <w:rsid w:val="001F168B"/>
    <w:rsid w:val="001F7831"/>
    <w:rsid w:val="00202F77"/>
    <w:rsid w:val="00204045"/>
    <w:rsid w:val="0020712B"/>
    <w:rsid w:val="00221E7B"/>
    <w:rsid w:val="0022606D"/>
    <w:rsid w:val="00231728"/>
    <w:rsid w:val="00244A05"/>
    <w:rsid w:val="002461CA"/>
    <w:rsid w:val="00250404"/>
    <w:rsid w:val="002554B9"/>
    <w:rsid w:val="00256B74"/>
    <w:rsid w:val="00260D94"/>
    <w:rsid w:val="002610D8"/>
    <w:rsid w:val="002747EC"/>
    <w:rsid w:val="002855BF"/>
    <w:rsid w:val="002861A1"/>
    <w:rsid w:val="00286B98"/>
    <w:rsid w:val="00294CBF"/>
    <w:rsid w:val="002B056A"/>
    <w:rsid w:val="002B2988"/>
    <w:rsid w:val="002D24EC"/>
    <w:rsid w:val="002F0D22"/>
    <w:rsid w:val="002F356C"/>
    <w:rsid w:val="002F6666"/>
    <w:rsid w:val="002F7C40"/>
    <w:rsid w:val="00311B17"/>
    <w:rsid w:val="003172DC"/>
    <w:rsid w:val="00325AE3"/>
    <w:rsid w:val="00326069"/>
    <w:rsid w:val="00340FD6"/>
    <w:rsid w:val="00351B69"/>
    <w:rsid w:val="003535EF"/>
    <w:rsid w:val="0035462D"/>
    <w:rsid w:val="0036459E"/>
    <w:rsid w:val="00364B41"/>
    <w:rsid w:val="00366EAF"/>
    <w:rsid w:val="00372634"/>
    <w:rsid w:val="003756EF"/>
    <w:rsid w:val="00383096"/>
    <w:rsid w:val="0039346C"/>
    <w:rsid w:val="003A211A"/>
    <w:rsid w:val="003A41EF"/>
    <w:rsid w:val="003A701A"/>
    <w:rsid w:val="003B40AD"/>
    <w:rsid w:val="003C4E37"/>
    <w:rsid w:val="003D0FD0"/>
    <w:rsid w:val="003E148F"/>
    <w:rsid w:val="003E16BE"/>
    <w:rsid w:val="003E17CC"/>
    <w:rsid w:val="003E3B56"/>
    <w:rsid w:val="003F3B95"/>
    <w:rsid w:val="003F4E28"/>
    <w:rsid w:val="004006E8"/>
    <w:rsid w:val="00401855"/>
    <w:rsid w:val="00404309"/>
    <w:rsid w:val="00406A5A"/>
    <w:rsid w:val="0042268B"/>
    <w:rsid w:val="00445E23"/>
    <w:rsid w:val="00446C3A"/>
    <w:rsid w:val="004521BD"/>
    <w:rsid w:val="00457505"/>
    <w:rsid w:val="00461F9C"/>
    <w:rsid w:val="0046493B"/>
    <w:rsid w:val="00464D54"/>
    <w:rsid w:val="00465587"/>
    <w:rsid w:val="00477455"/>
    <w:rsid w:val="00484E77"/>
    <w:rsid w:val="00485652"/>
    <w:rsid w:val="004917D8"/>
    <w:rsid w:val="004A1AD4"/>
    <w:rsid w:val="004A1F7B"/>
    <w:rsid w:val="004A6C2F"/>
    <w:rsid w:val="004A7984"/>
    <w:rsid w:val="004B5949"/>
    <w:rsid w:val="004B6F07"/>
    <w:rsid w:val="004C44D2"/>
    <w:rsid w:val="004D3578"/>
    <w:rsid w:val="004D380D"/>
    <w:rsid w:val="004E1199"/>
    <w:rsid w:val="004E213A"/>
    <w:rsid w:val="004E5B68"/>
    <w:rsid w:val="004E5F93"/>
    <w:rsid w:val="004F4540"/>
    <w:rsid w:val="004F73A7"/>
    <w:rsid w:val="00503171"/>
    <w:rsid w:val="00506C28"/>
    <w:rsid w:val="00507E0D"/>
    <w:rsid w:val="005105F8"/>
    <w:rsid w:val="00523397"/>
    <w:rsid w:val="005305D5"/>
    <w:rsid w:val="005306FA"/>
    <w:rsid w:val="00534DA0"/>
    <w:rsid w:val="00543E6C"/>
    <w:rsid w:val="00544D51"/>
    <w:rsid w:val="00553700"/>
    <w:rsid w:val="00565087"/>
    <w:rsid w:val="0056573F"/>
    <w:rsid w:val="00567809"/>
    <w:rsid w:val="005705A6"/>
    <w:rsid w:val="00571279"/>
    <w:rsid w:val="005A13AB"/>
    <w:rsid w:val="005A49C6"/>
    <w:rsid w:val="005A54B4"/>
    <w:rsid w:val="005B3D35"/>
    <w:rsid w:val="005C766E"/>
    <w:rsid w:val="005C7CD5"/>
    <w:rsid w:val="005E28E9"/>
    <w:rsid w:val="005F219C"/>
    <w:rsid w:val="005F45D7"/>
    <w:rsid w:val="0060530E"/>
    <w:rsid w:val="00611566"/>
    <w:rsid w:val="00612D37"/>
    <w:rsid w:val="00646D99"/>
    <w:rsid w:val="00655FDA"/>
    <w:rsid w:val="00656910"/>
    <w:rsid w:val="006574C0"/>
    <w:rsid w:val="00663C55"/>
    <w:rsid w:val="006711A1"/>
    <w:rsid w:val="00685354"/>
    <w:rsid w:val="00687866"/>
    <w:rsid w:val="00696821"/>
    <w:rsid w:val="006A67C3"/>
    <w:rsid w:val="006B3CAA"/>
    <w:rsid w:val="006B598E"/>
    <w:rsid w:val="006C49D7"/>
    <w:rsid w:val="006C66D8"/>
    <w:rsid w:val="006D1E24"/>
    <w:rsid w:val="006D2506"/>
    <w:rsid w:val="006D35DE"/>
    <w:rsid w:val="006E1057"/>
    <w:rsid w:val="006E1417"/>
    <w:rsid w:val="006E4DCA"/>
    <w:rsid w:val="006E7FAA"/>
    <w:rsid w:val="006F132A"/>
    <w:rsid w:val="006F2F9D"/>
    <w:rsid w:val="006F6215"/>
    <w:rsid w:val="006F6921"/>
    <w:rsid w:val="006F6A2C"/>
    <w:rsid w:val="007069DC"/>
    <w:rsid w:val="00710201"/>
    <w:rsid w:val="0072073A"/>
    <w:rsid w:val="007342B5"/>
    <w:rsid w:val="00734A5B"/>
    <w:rsid w:val="007429D5"/>
    <w:rsid w:val="00744E76"/>
    <w:rsid w:val="007518C1"/>
    <w:rsid w:val="007528AA"/>
    <w:rsid w:val="00754502"/>
    <w:rsid w:val="00757D40"/>
    <w:rsid w:val="007614DB"/>
    <w:rsid w:val="007618B9"/>
    <w:rsid w:val="00765276"/>
    <w:rsid w:val="007662B5"/>
    <w:rsid w:val="007705C3"/>
    <w:rsid w:val="00771740"/>
    <w:rsid w:val="007755F8"/>
    <w:rsid w:val="00775730"/>
    <w:rsid w:val="00781F0F"/>
    <w:rsid w:val="00783C1C"/>
    <w:rsid w:val="007840A4"/>
    <w:rsid w:val="007852EC"/>
    <w:rsid w:val="0078727C"/>
    <w:rsid w:val="0079049D"/>
    <w:rsid w:val="00791C97"/>
    <w:rsid w:val="00792568"/>
    <w:rsid w:val="00793DC5"/>
    <w:rsid w:val="00793E3D"/>
    <w:rsid w:val="00796823"/>
    <w:rsid w:val="007A2E55"/>
    <w:rsid w:val="007A7AD9"/>
    <w:rsid w:val="007A7CB9"/>
    <w:rsid w:val="007B18D8"/>
    <w:rsid w:val="007C095F"/>
    <w:rsid w:val="007C2DD0"/>
    <w:rsid w:val="007E7811"/>
    <w:rsid w:val="007F0568"/>
    <w:rsid w:val="007F2E08"/>
    <w:rsid w:val="008024FA"/>
    <w:rsid w:val="008028A4"/>
    <w:rsid w:val="0080400F"/>
    <w:rsid w:val="008047E1"/>
    <w:rsid w:val="00811138"/>
    <w:rsid w:val="00813245"/>
    <w:rsid w:val="00840DE0"/>
    <w:rsid w:val="00844BED"/>
    <w:rsid w:val="00847CD0"/>
    <w:rsid w:val="00850491"/>
    <w:rsid w:val="00851E03"/>
    <w:rsid w:val="008607A8"/>
    <w:rsid w:val="0086354A"/>
    <w:rsid w:val="008718B2"/>
    <w:rsid w:val="008722BC"/>
    <w:rsid w:val="008768CA"/>
    <w:rsid w:val="00876ADE"/>
    <w:rsid w:val="00877EF9"/>
    <w:rsid w:val="00880559"/>
    <w:rsid w:val="00890C73"/>
    <w:rsid w:val="00891025"/>
    <w:rsid w:val="00895DB5"/>
    <w:rsid w:val="008A2E70"/>
    <w:rsid w:val="008B5306"/>
    <w:rsid w:val="008B54E8"/>
    <w:rsid w:val="008C1577"/>
    <w:rsid w:val="008C2E2A"/>
    <w:rsid w:val="008C3057"/>
    <w:rsid w:val="008D2E4D"/>
    <w:rsid w:val="008F396F"/>
    <w:rsid w:val="008F3C88"/>
    <w:rsid w:val="008F3DCD"/>
    <w:rsid w:val="0090271F"/>
    <w:rsid w:val="00902DB9"/>
    <w:rsid w:val="0090466A"/>
    <w:rsid w:val="00905E5A"/>
    <w:rsid w:val="009109B5"/>
    <w:rsid w:val="009113CD"/>
    <w:rsid w:val="0091219D"/>
    <w:rsid w:val="00915226"/>
    <w:rsid w:val="00920FE3"/>
    <w:rsid w:val="00921DD1"/>
    <w:rsid w:val="00923655"/>
    <w:rsid w:val="00932542"/>
    <w:rsid w:val="00932748"/>
    <w:rsid w:val="009339CB"/>
    <w:rsid w:val="00936071"/>
    <w:rsid w:val="009376CD"/>
    <w:rsid w:val="00940212"/>
    <w:rsid w:val="00942EC2"/>
    <w:rsid w:val="0094463C"/>
    <w:rsid w:val="00953081"/>
    <w:rsid w:val="00961B32"/>
    <w:rsid w:val="00962509"/>
    <w:rsid w:val="0097091F"/>
    <w:rsid w:val="00970DB3"/>
    <w:rsid w:val="009711C0"/>
    <w:rsid w:val="00974BB0"/>
    <w:rsid w:val="00975BCD"/>
    <w:rsid w:val="009818A2"/>
    <w:rsid w:val="00981923"/>
    <w:rsid w:val="009874C8"/>
    <w:rsid w:val="00987E4E"/>
    <w:rsid w:val="009928A9"/>
    <w:rsid w:val="009A0AF3"/>
    <w:rsid w:val="009A2C4E"/>
    <w:rsid w:val="009B07CD"/>
    <w:rsid w:val="009B37D5"/>
    <w:rsid w:val="009B5822"/>
    <w:rsid w:val="009C19E9"/>
    <w:rsid w:val="009D6CA9"/>
    <w:rsid w:val="009D74A6"/>
    <w:rsid w:val="009E0E87"/>
    <w:rsid w:val="009E0F98"/>
    <w:rsid w:val="009F65D5"/>
    <w:rsid w:val="00A0456F"/>
    <w:rsid w:val="00A10F02"/>
    <w:rsid w:val="00A166FD"/>
    <w:rsid w:val="00A17176"/>
    <w:rsid w:val="00A204CA"/>
    <w:rsid w:val="00A209D6"/>
    <w:rsid w:val="00A22738"/>
    <w:rsid w:val="00A25642"/>
    <w:rsid w:val="00A26325"/>
    <w:rsid w:val="00A36F5F"/>
    <w:rsid w:val="00A370B8"/>
    <w:rsid w:val="00A40CB3"/>
    <w:rsid w:val="00A430EC"/>
    <w:rsid w:val="00A53724"/>
    <w:rsid w:val="00A54B2B"/>
    <w:rsid w:val="00A703B6"/>
    <w:rsid w:val="00A71A5A"/>
    <w:rsid w:val="00A73888"/>
    <w:rsid w:val="00A82346"/>
    <w:rsid w:val="00A9671C"/>
    <w:rsid w:val="00AA1553"/>
    <w:rsid w:val="00AA5E37"/>
    <w:rsid w:val="00AB3831"/>
    <w:rsid w:val="00AB5169"/>
    <w:rsid w:val="00AB5ECE"/>
    <w:rsid w:val="00AC27B4"/>
    <w:rsid w:val="00AC3B01"/>
    <w:rsid w:val="00AC662E"/>
    <w:rsid w:val="00AD0152"/>
    <w:rsid w:val="00AD264B"/>
    <w:rsid w:val="00AD7278"/>
    <w:rsid w:val="00B05380"/>
    <w:rsid w:val="00B05962"/>
    <w:rsid w:val="00B15449"/>
    <w:rsid w:val="00B16C2F"/>
    <w:rsid w:val="00B2141A"/>
    <w:rsid w:val="00B27303"/>
    <w:rsid w:val="00B32990"/>
    <w:rsid w:val="00B4087E"/>
    <w:rsid w:val="00B417FB"/>
    <w:rsid w:val="00B47FD1"/>
    <w:rsid w:val="00B516BB"/>
    <w:rsid w:val="00B6530D"/>
    <w:rsid w:val="00B7538C"/>
    <w:rsid w:val="00B83FF8"/>
    <w:rsid w:val="00B84DB2"/>
    <w:rsid w:val="00B96867"/>
    <w:rsid w:val="00BC19E0"/>
    <w:rsid w:val="00BC3555"/>
    <w:rsid w:val="00BC6304"/>
    <w:rsid w:val="00BC7423"/>
    <w:rsid w:val="00BD318A"/>
    <w:rsid w:val="00C01883"/>
    <w:rsid w:val="00C12B51"/>
    <w:rsid w:val="00C24650"/>
    <w:rsid w:val="00C25465"/>
    <w:rsid w:val="00C32DB4"/>
    <w:rsid w:val="00C33079"/>
    <w:rsid w:val="00C465D2"/>
    <w:rsid w:val="00C53237"/>
    <w:rsid w:val="00C55A12"/>
    <w:rsid w:val="00C6553E"/>
    <w:rsid w:val="00C7671D"/>
    <w:rsid w:val="00C83A13"/>
    <w:rsid w:val="00C86F10"/>
    <w:rsid w:val="00C9068C"/>
    <w:rsid w:val="00C92967"/>
    <w:rsid w:val="00CA00A5"/>
    <w:rsid w:val="00CA3D0C"/>
    <w:rsid w:val="00CA5F51"/>
    <w:rsid w:val="00CA654B"/>
    <w:rsid w:val="00CB72B8"/>
    <w:rsid w:val="00CC001A"/>
    <w:rsid w:val="00CC4C34"/>
    <w:rsid w:val="00CD0BA8"/>
    <w:rsid w:val="00CD4C7B"/>
    <w:rsid w:val="00CD58FE"/>
    <w:rsid w:val="00CD6B92"/>
    <w:rsid w:val="00CE589B"/>
    <w:rsid w:val="00CE62CC"/>
    <w:rsid w:val="00D060A2"/>
    <w:rsid w:val="00D07C24"/>
    <w:rsid w:val="00D102F6"/>
    <w:rsid w:val="00D12B4E"/>
    <w:rsid w:val="00D171B3"/>
    <w:rsid w:val="00D17FA9"/>
    <w:rsid w:val="00D24BF5"/>
    <w:rsid w:val="00D25329"/>
    <w:rsid w:val="00D33BE3"/>
    <w:rsid w:val="00D3792D"/>
    <w:rsid w:val="00D54820"/>
    <w:rsid w:val="00D55E47"/>
    <w:rsid w:val="00D62E19"/>
    <w:rsid w:val="00D64391"/>
    <w:rsid w:val="00D65170"/>
    <w:rsid w:val="00D67CD1"/>
    <w:rsid w:val="00D738D6"/>
    <w:rsid w:val="00D74156"/>
    <w:rsid w:val="00D764AE"/>
    <w:rsid w:val="00D77A29"/>
    <w:rsid w:val="00D80795"/>
    <w:rsid w:val="00D80A08"/>
    <w:rsid w:val="00D832E6"/>
    <w:rsid w:val="00D854BE"/>
    <w:rsid w:val="00D873E3"/>
    <w:rsid w:val="00D87E00"/>
    <w:rsid w:val="00D900EC"/>
    <w:rsid w:val="00D9134D"/>
    <w:rsid w:val="00D96D11"/>
    <w:rsid w:val="00DA3943"/>
    <w:rsid w:val="00DA7A03"/>
    <w:rsid w:val="00DB0DB8"/>
    <w:rsid w:val="00DB1818"/>
    <w:rsid w:val="00DC309B"/>
    <w:rsid w:val="00DC4DA2"/>
    <w:rsid w:val="00DC5261"/>
    <w:rsid w:val="00DD4FF4"/>
    <w:rsid w:val="00DE25D2"/>
    <w:rsid w:val="00DF7C20"/>
    <w:rsid w:val="00DF7F90"/>
    <w:rsid w:val="00E038FB"/>
    <w:rsid w:val="00E13D50"/>
    <w:rsid w:val="00E21B4A"/>
    <w:rsid w:val="00E42F0F"/>
    <w:rsid w:val="00E4325C"/>
    <w:rsid w:val="00E46C08"/>
    <w:rsid w:val="00E471CF"/>
    <w:rsid w:val="00E509D5"/>
    <w:rsid w:val="00E53183"/>
    <w:rsid w:val="00E62356"/>
    <w:rsid w:val="00E62835"/>
    <w:rsid w:val="00E6480E"/>
    <w:rsid w:val="00E77645"/>
    <w:rsid w:val="00E83697"/>
    <w:rsid w:val="00E84F9A"/>
    <w:rsid w:val="00E859B6"/>
    <w:rsid w:val="00E8775B"/>
    <w:rsid w:val="00EA66C9"/>
    <w:rsid w:val="00EA7EC8"/>
    <w:rsid w:val="00EB3C04"/>
    <w:rsid w:val="00EB5D32"/>
    <w:rsid w:val="00EC0692"/>
    <w:rsid w:val="00EC4A25"/>
    <w:rsid w:val="00ED04D9"/>
    <w:rsid w:val="00ED4E14"/>
    <w:rsid w:val="00ED6181"/>
    <w:rsid w:val="00EF3206"/>
    <w:rsid w:val="00EF5544"/>
    <w:rsid w:val="00EF612C"/>
    <w:rsid w:val="00F01CB7"/>
    <w:rsid w:val="00F025A2"/>
    <w:rsid w:val="00F029F8"/>
    <w:rsid w:val="00F036E9"/>
    <w:rsid w:val="00F07388"/>
    <w:rsid w:val="00F2026E"/>
    <w:rsid w:val="00F2210A"/>
    <w:rsid w:val="00F26D64"/>
    <w:rsid w:val="00F31372"/>
    <w:rsid w:val="00F36C27"/>
    <w:rsid w:val="00F37743"/>
    <w:rsid w:val="00F40BA4"/>
    <w:rsid w:val="00F54A3D"/>
    <w:rsid w:val="00F54CB0"/>
    <w:rsid w:val="00F5761A"/>
    <w:rsid w:val="00F57809"/>
    <w:rsid w:val="00F579CD"/>
    <w:rsid w:val="00F653B8"/>
    <w:rsid w:val="00F71B89"/>
    <w:rsid w:val="00F7353C"/>
    <w:rsid w:val="00F76F8F"/>
    <w:rsid w:val="00F83C8D"/>
    <w:rsid w:val="00F8612B"/>
    <w:rsid w:val="00F87257"/>
    <w:rsid w:val="00F941DF"/>
    <w:rsid w:val="00FA1266"/>
    <w:rsid w:val="00FA320F"/>
    <w:rsid w:val="00FA7907"/>
    <w:rsid w:val="00FB36FA"/>
    <w:rsid w:val="00FB62ED"/>
    <w:rsid w:val="00FC1192"/>
    <w:rsid w:val="00FD1D1A"/>
    <w:rsid w:val="00FE106D"/>
    <w:rsid w:val="00FE251B"/>
    <w:rsid w:val="00FE3F6D"/>
    <w:rsid w:val="110AD694"/>
    <w:rsid w:val="16845CE7"/>
    <w:rsid w:val="2543211B"/>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DA5968F-F822-4C25-A386-564C2AF1B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CA5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5F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5F51"/>
    <w:rPr>
      <w:rFonts w:ascii="Arial" w:eastAsia="MS Mincho" w:hAnsi="Arial"/>
      <w:szCs w:val="24"/>
    </w:rPr>
  </w:style>
  <w:style w:type="paragraph" w:customStyle="1" w:styleId="Agreement">
    <w:name w:val="Agreement"/>
    <w:basedOn w:val="Normal"/>
    <w:next w:val="Doc-text2"/>
    <w:uiPriority w:val="99"/>
    <w:qFormat/>
    <w:rsid w:val="00CA5F51"/>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F36C27"/>
    <w:pPr>
      <w:ind w:left="720"/>
      <w:contextualSpacing/>
    </w:pPr>
  </w:style>
  <w:style w:type="paragraph" w:styleId="Revision">
    <w:name w:val="Revision"/>
    <w:hidden/>
    <w:uiPriority w:val="99"/>
    <w:semiHidden/>
    <w:rsid w:val="0046493B"/>
    <w:rPr>
      <w:lang w:eastAsia="en-US"/>
    </w:rPr>
  </w:style>
  <w:style w:type="paragraph" w:styleId="CommentSubject">
    <w:name w:val="annotation subject"/>
    <w:basedOn w:val="CommentText"/>
    <w:next w:val="CommentText"/>
    <w:link w:val="CommentSubjectChar"/>
    <w:rsid w:val="009E0F98"/>
    <w:rPr>
      <w:b/>
      <w:bCs/>
    </w:rPr>
  </w:style>
  <w:style w:type="character" w:customStyle="1" w:styleId="CommentSubjectChar">
    <w:name w:val="Comment Subject Char"/>
    <w:basedOn w:val="CommentTextChar"/>
    <w:link w:val="CommentSubject"/>
    <w:rsid w:val="009E0F98"/>
    <w:rPr>
      <w:b/>
      <w:bCs/>
      <w:lang w:eastAsia="en-US"/>
    </w:rPr>
  </w:style>
  <w:style w:type="character" w:styleId="Mention">
    <w:name w:val="Mention"/>
    <w:basedOn w:val="DefaultParagraphFont"/>
    <w:uiPriority w:val="99"/>
    <w:unhideWhenUsed/>
    <w:rsid w:val="004E5F93"/>
    <w:rPr>
      <w:color w:val="2B579A"/>
      <w:shd w:val="clear" w:color="auto" w:fill="E1DFDD"/>
    </w:rPr>
  </w:style>
  <w:style w:type="paragraph" w:styleId="Caption">
    <w:name w:val="caption"/>
    <w:basedOn w:val="Normal"/>
    <w:next w:val="Normal"/>
    <w:unhideWhenUsed/>
    <w:qFormat/>
    <w:rsid w:val="007F056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5AIRPNAIUNRU-859666464-13757</_dlc_DocId>
    <_dlc_DocIdUrl xmlns="71c5aaf6-e6ce-465b-b873-5148d2a4c105">
      <Url>https://nokia.sharepoint.com/sites/c5g/e2earch/_layouts/15/DocIdRedir.aspx?ID=5AIRPNAIUNRU-859666464-13757</Url>
      <Description>5AIRPNAIUNRU-859666464-13757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23B1E89-F06B-4EF0-BA96-290BF239608C}">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208</cp:revision>
  <dcterms:created xsi:type="dcterms:W3CDTF">2016-08-12T12:53:00Z</dcterms:created>
  <dcterms:modified xsi:type="dcterms:W3CDTF">2023-04-07T09:08:00Z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f314b567-4a7a-43c4-a541-21b4eff8881c</vt:lpwstr>
  </property>
</Properties>
</file>